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E5A" w:rsidRPr="00735E5A" w:rsidRDefault="00735E5A" w:rsidP="00735E5A">
      <w:pPr>
        <w:spacing w:before="120" w:after="60"/>
        <w:jc w:val="center"/>
        <w:rPr>
          <w:rFonts w:ascii="Times New Roman" w:hAnsi="Times New Roman" w:cs="Times New Roman"/>
          <w:b/>
        </w:rPr>
      </w:pPr>
      <w:r w:rsidRPr="00735E5A">
        <w:rPr>
          <w:rFonts w:ascii="Times New Roman" w:hAnsi="Times New Roman" w:cs="Times New Roman"/>
          <w:b/>
        </w:rPr>
        <w:t>BẢNG TIÊU CHÍ ĐÁNH GIÁ, CHÁM ĐIỂM TỔ CHỨC ĐẤU GI</w:t>
      </w:r>
      <w:r w:rsidR="00027D19">
        <w:rPr>
          <w:rFonts w:ascii="Times New Roman" w:hAnsi="Times New Roman" w:cs="Times New Roman"/>
          <w:b/>
          <w:lang w:val="en-US"/>
        </w:rPr>
        <w:t>Á</w:t>
      </w:r>
      <w:r w:rsidRPr="00735E5A">
        <w:rPr>
          <w:rFonts w:ascii="Times New Roman" w:hAnsi="Times New Roman" w:cs="Times New Roman"/>
          <w:b/>
        </w:rPr>
        <w:t xml:space="preserve"> KHOẢN NỢ</w:t>
      </w:r>
    </w:p>
    <w:p w:rsidR="006B6262" w:rsidRPr="00735E5A" w:rsidRDefault="006B6262" w:rsidP="00735E5A">
      <w:pPr>
        <w:widowControl/>
        <w:spacing w:before="120" w:after="60"/>
        <w:jc w:val="center"/>
        <w:rPr>
          <w:rFonts w:ascii="Times New Roman" w:eastAsia="Times New Roman" w:hAnsi="Times New Roman" w:cs="Times New Roman"/>
          <w:color w:val="auto"/>
          <w:lang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5"/>
        <w:gridCol w:w="7534"/>
        <w:gridCol w:w="1119"/>
      </w:tblGrid>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color w:val="auto"/>
                <w:lang w:val="en-US" w:eastAsia="en-US"/>
              </w:rPr>
              <w:t>TT</w:t>
            </w:r>
          </w:p>
        </w:tc>
        <w:tc>
          <w:tcPr>
            <w:tcW w:w="4154"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color w:val="auto"/>
                <w:lang w:val="en-US" w:eastAsia="en-US"/>
              </w:rPr>
              <w:t>NỘI DUNG</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color w:val="auto"/>
                <w:lang w:val="en-US" w:eastAsia="en-US"/>
              </w:rPr>
              <w:t>MỨC TỐI ĐA</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color w:val="auto"/>
                <w:lang w:val="en-US" w:eastAsia="en-US"/>
              </w:rPr>
              <w:t>I</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color w:val="auto"/>
                <w:lang w:val="en-US" w:eastAsia="en-US"/>
              </w:rPr>
              <w:t>Có tên trong danh sách các tổ chức hành nghề đấu giá tài sản do Bộ Tư pháp công bố</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1.</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Có tên trong danh sách tổ chức hành nghề đấu giá tài sản do Bộ Tư pháp công bố</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Đủ điều kiện</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2.</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Không có tên trong danh sách tổ chức hành nghề đấu giá tài sản do Bộ Tư pháp công bố</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Không đủ điều kiện</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color w:val="auto"/>
                <w:lang w:val="en-US" w:eastAsia="en-US"/>
              </w:rPr>
              <w:t>II</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color w:val="auto"/>
                <w:lang w:val="en-US" w:eastAsia="en-US"/>
              </w:rPr>
              <w:t>Cơ sở vật chất, trang thiết bị cần thiết bảo đảm cho việc đấu giá đối với loại tài sản đấu giá</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color w:val="auto"/>
                <w:lang w:val="en-US" w:eastAsia="en-US"/>
              </w:rPr>
              <w:t>19,0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b/>
                <w:i/>
                <w:color w:val="auto"/>
                <w:lang w:val="en-US" w:eastAsia="en-US"/>
              </w:rPr>
            </w:pPr>
            <w:r w:rsidRPr="00735E5A">
              <w:rPr>
                <w:rFonts w:ascii="Times New Roman" w:eastAsia="Times New Roman" w:hAnsi="Times New Roman" w:cs="Times New Roman"/>
                <w:b/>
                <w:bCs/>
                <w:i/>
                <w:iCs/>
                <w:color w:val="auto"/>
                <w:lang w:val="en-US" w:eastAsia="en-US"/>
              </w:rPr>
              <w:t>1</w:t>
            </w:r>
            <w:r w:rsidRPr="00735E5A">
              <w:rPr>
                <w:rFonts w:ascii="Times New Roman" w:eastAsia="Times New Roman" w:hAnsi="Times New Roman" w:cs="Times New Roman"/>
                <w:b/>
                <w:i/>
                <w:iCs/>
                <w:color w:val="auto"/>
                <w:lang w:val="en-US" w:eastAsia="en-US"/>
              </w:rPr>
              <w:t>.</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Cơ sở vật chất bảo đảm cho việc đấu giá</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10,0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1.1</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Có địa chỉ trụ sở ổn định, rõ ràng (số điện thoại, địa chỉ thư điện tử...), trụ sở có đủ diện tích làm việc</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5,0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1.2</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Địa điểm bán, tiếp nhận hồ sơ tham gia đấu giá công khai, thuận tiện</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5,0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b/>
                <w:i/>
                <w:color w:val="auto"/>
                <w:lang w:val="en-US" w:eastAsia="en-US"/>
              </w:rPr>
            </w:pPr>
            <w:r w:rsidRPr="00735E5A">
              <w:rPr>
                <w:rFonts w:ascii="Times New Roman" w:eastAsia="Times New Roman" w:hAnsi="Times New Roman" w:cs="Times New Roman"/>
                <w:b/>
                <w:i/>
                <w:iCs/>
                <w:color w:val="auto"/>
                <w:lang w:val="en-US" w:eastAsia="en-US"/>
              </w:rPr>
              <w:t>2.</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Trang thiết bị cần thiết bảo đảm cho việc đấu giá</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b/>
                <w:i/>
                <w:color w:val="auto"/>
                <w:lang w:val="en-US" w:eastAsia="en-US"/>
              </w:rPr>
            </w:pPr>
            <w:r w:rsidRPr="00735E5A">
              <w:rPr>
                <w:rFonts w:ascii="Times New Roman" w:eastAsia="Times New Roman" w:hAnsi="Times New Roman" w:cs="Times New Roman"/>
                <w:b/>
                <w:i/>
                <w:iCs/>
                <w:color w:val="auto"/>
                <w:lang w:val="en-US" w:eastAsia="en-US"/>
              </w:rPr>
              <w:t>5,0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2.1</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2,0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2.2</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Có hệ thống camera giám sát hoặc thiết bị ghi hình tại nơi tổ chức phiên đấu giá (được trích xuất, lưu theo hồ sơ đấu giá)</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3,0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3.</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Có trang thông tin điện tử của tổ chức hành nghề đấu giá tài sản đang hoạt động ổn định, được cập nhật thường xuyên</w:t>
            </w:r>
          </w:p>
          <w:p w:rsidR="006B6262" w:rsidRPr="00735E5A" w:rsidRDefault="006264A8" w:rsidP="00735E5A">
            <w:pPr>
              <w:widowControl/>
              <w:spacing w:after="60"/>
              <w:ind w:left="147" w:right="125"/>
              <w:jc w:val="both"/>
              <w:rPr>
                <w:rFonts w:ascii="Times New Roman" w:eastAsia="Times New Roman" w:hAnsi="Times New Roman" w:cs="Times New Roman"/>
                <w:color w:val="auto"/>
                <w:lang w:val="en-US" w:eastAsia="en-US"/>
              </w:rPr>
            </w:pPr>
            <w:r>
              <w:rPr>
                <w:rFonts w:ascii="Times New Roman" w:eastAsia="Times New Roman" w:hAnsi="Times New Roman" w:cs="Times New Roman"/>
                <w:b/>
                <w:bCs/>
                <w:i/>
                <w:iCs/>
                <w:color w:val="auto"/>
                <w:lang w:val="en-US" w:eastAsia="en-US"/>
              </w:rPr>
              <w:t>Đối với Trung tâm D</w:t>
            </w:r>
            <w:r w:rsidR="006B6262" w:rsidRPr="00735E5A">
              <w:rPr>
                <w:rFonts w:ascii="Times New Roman" w:eastAsia="Times New Roman" w:hAnsi="Times New Roman" w:cs="Times New Roman"/>
                <w:b/>
                <w:bCs/>
                <w:i/>
                <w:iCs/>
                <w:color w:val="auto"/>
                <w:lang w:val="en-US" w:eastAsia="en-US"/>
              </w:rPr>
              <w:t>ịch vụ đấu giá tài sản thì dùng Trang thông tin điện tử độc lập hoặc Trang thông tin thuộc Cổng Thông tin điện tử của Sở Tư pháp</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2,0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4.</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spacing w:val="-8"/>
                <w:lang w:val="en-US" w:eastAsia="en-US"/>
              </w:rPr>
            </w:pPr>
            <w:r w:rsidRPr="00735E5A">
              <w:rPr>
                <w:rFonts w:ascii="Times New Roman" w:eastAsia="Times New Roman" w:hAnsi="Times New Roman" w:cs="Times New Roman"/>
                <w:b/>
                <w:bCs/>
                <w:i/>
                <w:iCs/>
                <w:color w:val="auto"/>
                <w:spacing w:val="-8"/>
                <w:lang w:val="en-US" w:eastAsia="en-US"/>
              </w:rPr>
              <w:t>Có Trang thông tin đấu giá trực tuyến được phê duyệt hoặc trong năm trước liền</w:t>
            </w:r>
            <w:r w:rsidR="006264A8">
              <w:rPr>
                <w:rFonts w:ascii="Times New Roman" w:eastAsia="Times New Roman" w:hAnsi="Times New Roman" w:cs="Times New Roman"/>
                <w:b/>
                <w:bCs/>
                <w:i/>
                <w:iCs/>
                <w:color w:val="auto"/>
                <w:spacing w:val="-8"/>
                <w:lang w:val="en-US" w:eastAsia="en-US"/>
              </w:rPr>
              <w:t xml:space="preserve"> kề đã thực hiện ít nhất </w:t>
            </w:r>
            <w:r w:rsidRPr="00735E5A">
              <w:rPr>
                <w:rFonts w:ascii="Times New Roman" w:eastAsia="Times New Roman" w:hAnsi="Times New Roman" w:cs="Times New Roman"/>
                <w:b/>
                <w:bCs/>
                <w:i/>
                <w:iCs/>
                <w:color w:val="auto"/>
                <w:spacing w:val="-8"/>
                <w:lang w:val="en-US" w:eastAsia="en-US"/>
              </w:rPr>
              <w:t>1 cuộc đấu giá bằng hình thức trực tuyến</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1,0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b/>
                <w:i/>
                <w:color w:val="auto"/>
                <w:lang w:val="en-US" w:eastAsia="en-US"/>
              </w:rPr>
            </w:pPr>
            <w:r w:rsidRPr="00735E5A">
              <w:rPr>
                <w:rFonts w:ascii="Times New Roman" w:eastAsia="Times New Roman" w:hAnsi="Times New Roman" w:cs="Times New Roman"/>
                <w:b/>
                <w:bCs/>
                <w:i/>
                <w:color w:val="auto"/>
                <w:lang w:val="en-US" w:eastAsia="en-US"/>
              </w:rPr>
              <w:t>5.</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Có nơi lưu trữ hồ sơ đấu giá</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1,0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color w:val="auto"/>
                <w:lang w:val="en-US" w:eastAsia="en-US"/>
              </w:rPr>
              <w:t>Ill</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color w:val="auto"/>
                <w:lang w:val="en-US" w:eastAsia="en-US"/>
              </w:rPr>
              <w:t xml:space="preserve">Phương án đấu giá khả thi, hiệu quả </w:t>
            </w:r>
            <w:r w:rsidRPr="00735E5A">
              <w:rPr>
                <w:rFonts w:ascii="Times New Roman" w:eastAsia="Times New Roman" w:hAnsi="Times New Roman" w:cs="Times New Roman"/>
                <w:i/>
                <w:iCs/>
                <w:color w:val="auto"/>
                <w:lang w:val="en-US" w:eastAsia="en-US"/>
              </w:rPr>
              <w:t>(Thuyết minh đầy đủ các nội dung trong phương án)</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color w:val="auto"/>
                <w:lang w:val="en-US" w:eastAsia="en-US"/>
              </w:rPr>
              <w:t>16,0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b/>
                <w:i/>
                <w:color w:val="auto"/>
                <w:lang w:val="en-US" w:eastAsia="en-US"/>
              </w:rPr>
            </w:pPr>
            <w:r w:rsidRPr="00735E5A">
              <w:rPr>
                <w:rFonts w:ascii="Times New Roman" w:eastAsia="Times New Roman" w:hAnsi="Times New Roman" w:cs="Times New Roman"/>
                <w:b/>
                <w:bCs/>
                <w:i/>
                <w:iCs/>
                <w:color w:val="auto"/>
                <w:lang w:val="en-US" w:eastAsia="en-US"/>
              </w:rPr>
              <w:t>1</w:t>
            </w:r>
            <w:r w:rsidRPr="00735E5A">
              <w:rPr>
                <w:rFonts w:ascii="Times New Roman" w:eastAsia="Times New Roman" w:hAnsi="Times New Roman" w:cs="Times New Roman"/>
                <w:b/>
                <w:i/>
                <w:iCs/>
                <w:color w:val="auto"/>
                <w:lang w:val="en-US" w:eastAsia="en-US"/>
              </w:rPr>
              <w:t>.</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Phương án đấu giá đề xuất được hình thức đấu giá, bước giá, số vòng đấu giá có tính khả thi và hiệu quả cao</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4,0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1.1</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Hình thức đấu giá khả thi, hiệu quả</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2,0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1.2</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Bước giá, số vòng đấu giá khả thi, hiệu quả</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2,0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2.</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spacing w:val="-10"/>
                <w:lang w:val="en-US" w:eastAsia="en-US"/>
              </w:rPr>
            </w:pPr>
            <w:r w:rsidRPr="00735E5A">
              <w:rPr>
                <w:rFonts w:ascii="Times New Roman" w:eastAsia="Times New Roman" w:hAnsi="Times New Roman" w:cs="Times New Roman"/>
                <w:b/>
                <w:bCs/>
                <w:i/>
                <w:iCs/>
                <w:color w:val="auto"/>
                <w:spacing w:val="-10"/>
                <w:lang w:val="en-US" w:eastAsia="en-US"/>
              </w:rPr>
              <w:t>Phương án đấu giá đề xuất việc bán, tiếp nhận hồ sơ tham gia đấu giá công khai, khả thi, thuận tiện (địa điểm, phương thức bán, tiếp nhận hồ sơ)</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4,0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3.</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Phương án đấu giá đề xuất được đối tượng và điều kiện tham gia đấu giá phù hợp với tài sản đấu giá</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4,0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3.1</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Đối tượng theo đúng quy định của pháp luật</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2,0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3.2</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Điều kiện tham gia đấu giá phù hợp với quy định pháp luật áp dụng đối với tài sản đấu giá</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2,0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4</w:t>
            </w:r>
            <w:r w:rsidRPr="00735E5A">
              <w:rPr>
                <w:rFonts w:ascii="Times New Roman" w:eastAsia="Times New Roman" w:hAnsi="Times New Roman" w:cs="Times New Roman"/>
                <w:b/>
                <w:bCs/>
                <w:color w:val="auto"/>
                <w:lang w:val="en-US" w:eastAsia="en-US"/>
              </w:rPr>
              <w:t>.</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Phương án đấu giá đề xuất giải pháp giám sát việc tổ chức đấu giá hiệu quả; chống thông đồng, dìm giá, bảo đảm an toàn, an ninh trật tự của phiên đấu giá</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4,0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color w:val="auto"/>
                <w:lang w:val="en-US" w:eastAsia="en-US"/>
              </w:rPr>
              <w:lastRenderedPageBreak/>
              <w:t>IV</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color w:val="auto"/>
                <w:lang w:val="en-US" w:eastAsia="en-US"/>
              </w:rPr>
              <w:t>Năng lực, kinh nghiệm và uy tín của tổ chức hành nghề đấu giá tài sản</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color w:val="auto"/>
                <w:lang w:val="en-US" w:eastAsia="en-US"/>
              </w:rPr>
              <w:t>57,0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b/>
                <w:i/>
                <w:color w:val="auto"/>
                <w:lang w:val="en-US" w:eastAsia="en-US"/>
              </w:rPr>
            </w:pPr>
            <w:r w:rsidRPr="00735E5A">
              <w:rPr>
                <w:rFonts w:ascii="Times New Roman" w:eastAsia="Times New Roman" w:hAnsi="Times New Roman" w:cs="Times New Roman"/>
                <w:b/>
                <w:bCs/>
                <w:i/>
                <w:iCs/>
                <w:color w:val="auto"/>
                <w:lang w:val="en-US" w:eastAsia="en-US"/>
              </w:rPr>
              <w:t>1</w:t>
            </w:r>
            <w:r w:rsidRPr="00735E5A">
              <w:rPr>
                <w:rFonts w:ascii="Times New Roman" w:eastAsia="Times New Roman" w:hAnsi="Times New Roman" w:cs="Times New Roman"/>
                <w:b/>
                <w:i/>
                <w:iCs/>
                <w:color w:val="auto"/>
                <w:lang w:val="en-US" w:eastAsia="en-US"/>
              </w:rPr>
              <w:t>.</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b/>
                <w:i/>
                <w:color w:val="auto"/>
                <w:lang w:val="en-US" w:eastAsia="en-US"/>
              </w:rPr>
            </w:pPr>
            <w:r w:rsidRPr="00735E5A">
              <w:rPr>
                <w:rFonts w:ascii="Times New Roman" w:eastAsia="Times New Roman" w:hAnsi="Times New Roman" w:cs="Times New Roman"/>
                <w:b/>
                <w:bCs/>
                <w:i/>
                <w:iCs/>
                <w:color w:val="auto"/>
                <w:lang w:val="en-US" w:eastAsia="en-US"/>
              </w:rPr>
              <w:t>Tổng số cuộc đấu giá đã tổ chức trong năm trước liền kề (bao gồm cả cuộc đấu giá thành và cuộc đấu giá không thành)</w:t>
            </w:r>
          </w:p>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Chỉ chọn chấm điểm một trong các tiêu chí.</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15,0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1.1</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Dưới 20 cuộc đấu giá</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12,0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1.2</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Từ 20 cuộc đấu giá đến dưới 40 cuộc đấu giá</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13,0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1.3</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Từ 40 cuộc đấu giá đến dưới 70 cuộc đấu giá</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14,0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1.4</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Từ 70 cuộc đấu giá trở lên</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15,0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2.</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Tổng số cuộc đấu giá thành trong năm trước liền kề</w:t>
            </w:r>
          </w:p>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Chỉ chọn chấm điểm một trong các tiêu chí.</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b/>
                <w:color w:val="auto"/>
                <w:lang w:val="en-US" w:eastAsia="en-US"/>
              </w:rPr>
            </w:pPr>
            <w:r w:rsidRPr="00735E5A">
              <w:rPr>
                <w:rFonts w:ascii="Times New Roman" w:eastAsia="Times New Roman" w:hAnsi="Times New Roman" w:cs="Times New Roman"/>
                <w:b/>
                <w:i/>
                <w:iCs/>
                <w:color w:val="auto"/>
                <w:lang w:val="en-US" w:eastAsia="en-US"/>
              </w:rPr>
              <w:t>7,0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2.1</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Dưới 10 cuộc đấu giá thành (bao gồm cả trường hợp không có cuộc đấu giá thành nào)</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4,0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2.2</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Từ 10 cuộc đấu giá thành đến dưới 30 cuộc đấu giá thành</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5,0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2.3</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Từ 30 cuộc đấu giá thành đến dưới 50 cuộc đấu giá thành</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6,0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2.4</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Từ 50 cuộc đấu giá thành trở lên</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7,0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3.</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Tổng số cuộc đấu giá thành có chênh lệch giữa giá trúng so với giá khởi điểm trong năm trước liền kề</w:t>
            </w:r>
            <w:r w:rsidRPr="00735E5A">
              <w:rPr>
                <w:rFonts w:ascii="Times New Roman" w:eastAsia="Times New Roman" w:hAnsi="Times New Roman" w:cs="Times New Roman"/>
                <w:b/>
                <w:bCs/>
                <w:color w:val="auto"/>
                <w:lang w:val="en-US" w:eastAsia="en-US"/>
              </w:rPr>
              <w:t xml:space="preserve"> </w:t>
            </w:r>
            <w:r w:rsidRPr="00735E5A">
              <w:rPr>
                <w:rFonts w:ascii="Times New Roman" w:eastAsia="Times New Roman" w:hAnsi="Times New Roman" w:cs="Times New Roman"/>
                <w:color w:val="auto"/>
                <w:lang w:val="en-US" w:eastAsia="en-US"/>
              </w:rPr>
              <w:t>(Người có tài sản không yêu cầu nộp hoặc cung cấp bản chính hoặc bản sao hợp đồng, quy chế cuộc đấu giá và các tài liệu có liên quan)</w:t>
            </w:r>
          </w:p>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Chỉ chọn chấm điểm một trong các tiêu chí.</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7,0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3.1</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Dưới 10 cuộc (bao gồm cả trường hợp không có chênh lệch)</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4,0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3.2</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Từ 10 cuộc đến dưới 30 cuộc</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5,0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3.3</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Từ 30 cuộc đến dưới 50 cuộc</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6,0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3.4</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Từ 50 cuộc trở lên</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7,0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b/>
                <w:i/>
                <w:color w:val="auto"/>
                <w:lang w:val="en-US" w:eastAsia="en-US"/>
              </w:rPr>
            </w:pPr>
            <w:r w:rsidRPr="00735E5A">
              <w:rPr>
                <w:rFonts w:ascii="Times New Roman" w:eastAsia="Times New Roman" w:hAnsi="Times New Roman" w:cs="Times New Roman"/>
                <w:b/>
                <w:i/>
                <w:iCs/>
                <w:color w:val="auto"/>
                <w:lang w:val="en-US" w:eastAsia="en-US"/>
              </w:rPr>
              <w:t>4.</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Tổng số cuộc đấu giá thành trong năm trước liền kề có mức chênh lệch từ 10% trở lên</w:t>
            </w:r>
            <w:r w:rsidRPr="00735E5A">
              <w:rPr>
                <w:rFonts w:ascii="Times New Roman" w:eastAsia="Times New Roman" w:hAnsi="Times New Roman" w:cs="Times New Roman"/>
                <w:b/>
                <w:bCs/>
                <w:color w:val="auto"/>
                <w:lang w:val="en-US" w:eastAsia="en-US"/>
              </w:rPr>
              <w:t xml:space="preserve"> </w:t>
            </w:r>
            <w:r w:rsidRPr="00735E5A">
              <w:rPr>
                <w:rFonts w:ascii="Times New Roman" w:eastAsia="Times New Roman" w:hAnsi="Times New Roman" w:cs="Times New Roman"/>
                <w:color w:val="auto"/>
                <w:lang w:val="en-US" w:eastAsia="en-US"/>
              </w:rPr>
              <w:t>(Người có tài sản đấu giá không yêu cầu nộp bản chính hoặc bản sao hợp đồng)</w:t>
            </w:r>
          </w:p>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Người có tài sản chấm điểm theo cách thức dưới đây. Trường hợp kết quả điểm là số thập phân thì được làm tròn đến hàng phần trăm. Trường hợp số điểm của tổ chức hành nghề đấu giá tài sản dưới 1 điểm (bao gồm cả trường hợp 0 điểm) thì được tính là 1 điểm.</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3,0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4.1</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Tổ chức hành nghề đấu giá tài sản (A) có tổng số cuộc đấu giá thành trong năm trước liền kề có mức chênh lệch từ 10% trở lên nhiều nhất (Y cuộc) thì được tối đa 3 điểm</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3,0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4.2</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Tổ chức hành nghề đấu giá tài sản (B) có tổng số cuộc đấu giá thành trong năm trước liền kề có mức chênh lệch từ 10% trở lên thấp hơn liền kề (U cuộc) thì số điểm được tính theo công thức:</w:t>
            </w:r>
          </w:p>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Số điểm của B = (U x 3)/Y</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4.3</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Tổ chức hành nghề đấu giá tài sản (C) có tổng số cuộc đấu giá thành trong năm trước liền kề có mức chênh lệch từ 10% trở lên thấp hơn liền kề tiếp theo (V cuộc) thì số điểm được tính tương tự theo công thức nêu trên: Số điểm của C</w:t>
            </w:r>
            <w:r w:rsidRPr="00735E5A">
              <w:rPr>
                <w:rFonts w:ascii="Times New Roman" w:eastAsia="Times New Roman" w:hAnsi="Times New Roman" w:cs="Times New Roman"/>
                <w:color w:val="auto"/>
                <w:lang w:val="en-US" w:eastAsia="en-US"/>
              </w:rPr>
              <w:t xml:space="preserve"> =</w:t>
            </w:r>
            <w:r w:rsidRPr="00735E5A">
              <w:rPr>
                <w:rFonts w:ascii="Times New Roman" w:eastAsia="Times New Roman" w:hAnsi="Times New Roman" w:cs="Times New Roman"/>
                <w:b/>
                <w:bCs/>
                <w:color w:val="auto"/>
                <w:lang w:val="en-US" w:eastAsia="en-US"/>
              </w:rPr>
              <w:t xml:space="preserve"> </w:t>
            </w:r>
            <w:r w:rsidRPr="00735E5A">
              <w:rPr>
                <w:rFonts w:ascii="Times New Roman" w:eastAsia="Times New Roman" w:hAnsi="Times New Roman" w:cs="Times New Roman"/>
                <w:i/>
                <w:iCs/>
                <w:color w:val="auto"/>
                <w:lang w:val="en-US" w:eastAsia="en-US"/>
              </w:rPr>
              <w:t>(V x 3)/Y</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5.</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Luật đấu giá tài sản có hiệu lực)</w:t>
            </w:r>
          </w:p>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lastRenderedPageBreak/>
              <w:t>Chỉ chọn chấm điểm một trong các tiêu chí.</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lastRenderedPageBreak/>
              <w:t>7,0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5.1</w:t>
            </w:r>
          </w:p>
        </w:tc>
        <w:tc>
          <w:tcPr>
            <w:tcW w:w="4154" w:type="pct"/>
            <w:shd w:val="clear" w:color="auto" w:fill="FFFFFF"/>
            <w:vAlign w:val="center"/>
          </w:tcPr>
          <w:p w:rsidR="006B6262" w:rsidRPr="00735E5A" w:rsidRDefault="006264A8" w:rsidP="00735E5A">
            <w:pPr>
              <w:widowControl/>
              <w:spacing w:after="60"/>
              <w:ind w:left="147" w:right="125"/>
              <w:jc w:val="both"/>
              <w:rPr>
                <w:rFonts w:ascii="Times New Roman" w:eastAsia="Times New Roman" w:hAnsi="Times New Roman" w:cs="Times New Roman"/>
                <w:color w:val="auto"/>
                <w:lang w:val="en-US" w:eastAsia="en-US"/>
              </w:rPr>
            </w:pPr>
            <w:r>
              <w:rPr>
                <w:rFonts w:ascii="Times New Roman" w:eastAsia="Times New Roman" w:hAnsi="Times New Roman" w:cs="Times New Roman"/>
                <w:i/>
                <w:iCs/>
                <w:color w:val="auto"/>
                <w:lang w:val="en-US" w:eastAsia="en-US"/>
              </w:rPr>
              <w:t xml:space="preserve">Có thời gian hoạt động dưới </w:t>
            </w:r>
            <w:r w:rsidR="006B6262" w:rsidRPr="00735E5A">
              <w:rPr>
                <w:rFonts w:ascii="Times New Roman" w:eastAsia="Times New Roman" w:hAnsi="Times New Roman" w:cs="Times New Roman"/>
                <w:i/>
                <w:iCs/>
                <w:color w:val="auto"/>
                <w:lang w:val="en-US" w:eastAsia="en-US"/>
              </w:rPr>
              <w:t>5 năm</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4,0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5.2</w:t>
            </w:r>
          </w:p>
        </w:tc>
        <w:tc>
          <w:tcPr>
            <w:tcW w:w="4154" w:type="pct"/>
            <w:shd w:val="clear" w:color="auto" w:fill="FFFFFF"/>
            <w:vAlign w:val="center"/>
          </w:tcPr>
          <w:p w:rsidR="006B6262" w:rsidRPr="00735E5A" w:rsidRDefault="006264A8" w:rsidP="00735E5A">
            <w:pPr>
              <w:widowControl/>
              <w:spacing w:after="60"/>
              <w:ind w:left="147" w:right="125"/>
              <w:jc w:val="both"/>
              <w:rPr>
                <w:rFonts w:ascii="Times New Roman" w:eastAsia="Times New Roman" w:hAnsi="Times New Roman" w:cs="Times New Roman"/>
                <w:color w:val="auto"/>
                <w:lang w:val="en-US" w:eastAsia="en-US"/>
              </w:rPr>
            </w:pPr>
            <w:r>
              <w:rPr>
                <w:rFonts w:ascii="Times New Roman" w:eastAsia="Times New Roman" w:hAnsi="Times New Roman" w:cs="Times New Roman"/>
                <w:i/>
                <w:iCs/>
                <w:color w:val="auto"/>
                <w:lang w:val="en-US" w:eastAsia="en-US"/>
              </w:rPr>
              <w:t xml:space="preserve">Có thời gian hoạt động từ </w:t>
            </w:r>
            <w:r w:rsidR="006B6262" w:rsidRPr="00735E5A">
              <w:rPr>
                <w:rFonts w:ascii="Times New Roman" w:eastAsia="Times New Roman" w:hAnsi="Times New Roman" w:cs="Times New Roman"/>
                <w:i/>
                <w:iCs/>
                <w:color w:val="auto"/>
                <w:lang w:val="en-US" w:eastAsia="en-US"/>
              </w:rPr>
              <w:t>5 năm đến dưới 10 năm</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5,0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5.3</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Có thời gian hoạt động từ 10 năm đến dưới 15 năm</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6,0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5.4</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Có thời gian hoạt động từ 15 năm trở lên</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7,0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6.</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Số lượng đấu giá viên của tổ chức hành nghề đấu giá tài sản</w:t>
            </w:r>
          </w:p>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Chỉ chọn chấm điểm một trong các tiêu chí.</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4,0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6.1</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1 đấu giá viên</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2,0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6.2</w:t>
            </w:r>
          </w:p>
        </w:tc>
        <w:tc>
          <w:tcPr>
            <w:tcW w:w="4154" w:type="pct"/>
            <w:shd w:val="clear" w:color="auto" w:fill="FFFFFF"/>
            <w:vAlign w:val="center"/>
          </w:tcPr>
          <w:p w:rsidR="006B6262" w:rsidRPr="00735E5A" w:rsidRDefault="006264A8" w:rsidP="00735E5A">
            <w:pPr>
              <w:widowControl/>
              <w:spacing w:after="60"/>
              <w:ind w:left="147" w:right="125"/>
              <w:jc w:val="both"/>
              <w:rPr>
                <w:rFonts w:ascii="Times New Roman" w:eastAsia="Times New Roman" w:hAnsi="Times New Roman" w:cs="Times New Roman"/>
                <w:color w:val="auto"/>
                <w:lang w:val="en-US" w:eastAsia="en-US"/>
              </w:rPr>
            </w:pPr>
            <w:r>
              <w:rPr>
                <w:rFonts w:ascii="Times New Roman" w:eastAsia="Times New Roman" w:hAnsi="Times New Roman" w:cs="Times New Roman"/>
                <w:i/>
                <w:iCs/>
                <w:color w:val="auto"/>
                <w:lang w:val="en-US" w:eastAsia="en-US"/>
              </w:rPr>
              <w:t xml:space="preserve">Từ 2 đến dưới </w:t>
            </w:r>
            <w:r w:rsidR="006B6262" w:rsidRPr="00735E5A">
              <w:rPr>
                <w:rFonts w:ascii="Times New Roman" w:eastAsia="Times New Roman" w:hAnsi="Times New Roman" w:cs="Times New Roman"/>
                <w:i/>
                <w:iCs/>
                <w:color w:val="auto"/>
                <w:lang w:val="en-US" w:eastAsia="en-US"/>
              </w:rPr>
              <w:t>5 đấu giá viên</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3,0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6.3</w:t>
            </w:r>
          </w:p>
        </w:tc>
        <w:tc>
          <w:tcPr>
            <w:tcW w:w="4154" w:type="pct"/>
            <w:shd w:val="clear" w:color="auto" w:fill="FFFFFF"/>
            <w:vAlign w:val="center"/>
          </w:tcPr>
          <w:p w:rsidR="006B6262" w:rsidRPr="00735E5A" w:rsidRDefault="006264A8" w:rsidP="00735E5A">
            <w:pPr>
              <w:widowControl/>
              <w:spacing w:after="60"/>
              <w:ind w:left="147" w:right="125"/>
              <w:jc w:val="both"/>
              <w:rPr>
                <w:rFonts w:ascii="Times New Roman" w:eastAsia="Times New Roman" w:hAnsi="Times New Roman" w:cs="Times New Roman"/>
                <w:color w:val="auto"/>
                <w:lang w:val="en-US" w:eastAsia="en-US"/>
              </w:rPr>
            </w:pPr>
            <w:r>
              <w:rPr>
                <w:rFonts w:ascii="Times New Roman" w:eastAsia="Times New Roman" w:hAnsi="Times New Roman" w:cs="Times New Roman"/>
                <w:i/>
                <w:iCs/>
                <w:color w:val="auto"/>
                <w:lang w:val="en-US" w:eastAsia="en-US"/>
              </w:rPr>
              <w:t xml:space="preserve">Từ </w:t>
            </w:r>
            <w:r w:rsidR="006B6262" w:rsidRPr="00735E5A">
              <w:rPr>
                <w:rFonts w:ascii="Times New Roman" w:eastAsia="Times New Roman" w:hAnsi="Times New Roman" w:cs="Times New Roman"/>
                <w:i/>
                <w:iCs/>
                <w:color w:val="auto"/>
                <w:lang w:val="en-US" w:eastAsia="en-US"/>
              </w:rPr>
              <w:t>5 đấu giá viên trở lên</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4,0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7.</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spacing w:val="-6"/>
                <w:lang w:val="en-US" w:eastAsia="en-US"/>
              </w:rPr>
            </w:pPr>
            <w:r w:rsidRPr="00735E5A">
              <w:rPr>
                <w:rFonts w:ascii="Times New Roman" w:eastAsia="Times New Roman" w:hAnsi="Times New Roman" w:cs="Times New Roman"/>
                <w:b/>
                <w:bCs/>
                <w:i/>
                <w:iCs/>
                <w:color w:val="auto"/>
                <w:spacing w:val="-6"/>
                <w:lang w:val="en-US" w:eastAsia="en-US"/>
              </w:rPr>
              <w:t>Kinh nghiệm hành nghề của đấu giá viên là Giám đốc Trung tâm</w:t>
            </w:r>
            <w:r w:rsidR="006264A8">
              <w:rPr>
                <w:rFonts w:ascii="Times New Roman" w:eastAsia="Times New Roman" w:hAnsi="Times New Roman" w:cs="Times New Roman"/>
                <w:b/>
                <w:bCs/>
                <w:i/>
                <w:iCs/>
                <w:color w:val="auto"/>
                <w:spacing w:val="-6"/>
                <w:lang w:val="en-US" w:eastAsia="en-US"/>
              </w:rPr>
              <w:t xml:space="preserve"> dịch vụ đấu giá tài sản, Tổng G</w:t>
            </w:r>
            <w:r w:rsidRPr="00735E5A">
              <w:rPr>
                <w:rFonts w:ascii="Times New Roman" w:eastAsia="Times New Roman" w:hAnsi="Times New Roman" w:cs="Times New Roman"/>
                <w:b/>
                <w:bCs/>
                <w:i/>
                <w:iCs/>
                <w:color w:val="auto"/>
                <w:spacing w:val="-6"/>
                <w:lang w:val="en-US" w:eastAsia="en-US"/>
              </w:rPr>
              <w:t>iám đốc hoặc Giám đốc của Công ty đấu giá hợp danh, Giám đốc doanh nghiệp tư nhân (Tính từ thời điểm được cấp Thẻ đấu giá viên theo Nghị định số 05/2005/NĐ-CP ngày 18/01/2005 của Chính phủ về bán đấu giá tài sản hoặc đăng ký danh sách đấu giá viên tại Sở Tư pháp theo Nghị định số 17/2010/NĐ-CP ngày 04/3/2010 của Chính phủ về bán đấu giá tài sản hoặc Thẻ đấu giá viên theo Luật đấu giá tài sản hoặc thông tin về danh sách đấu giá viên trong Giấy đăng ký hoạt động của doanh nghiệp đấu giá tài sản theo Luật sửa đổi, bổ sung một số điều của Luật đấu giá tài sản)</w:t>
            </w:r>
          </w:p>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Chỉ chọn chấm điểm một trong các tiêu chí.</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4,0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7.1</w:t>
            </w:r>
          </w:p>
        </w:tc>
        <w:tc>
          <w:tcPr>
            <w:tcW w:w="4154" w:type="pct"/>
            <w:shd w:val="clear" w:color="auto" w:fill="FFFFFF"/>
            <w:vAlign w:val="center"/>
          </w:tcPr>
          <w:p w:rsidR="006B6262" w:rsidRPr="00735E5A" w:rsidRDefault="006264A8" w:rsidP="00735E5A">
            <w:pPr>
              <w:widowControl/>
              <w:spacing w:after="60"/>
              <w:ind w:left="147" w:right="125"/>
              <w:jc w:val="both"/>
              <w:rPr>
                <w:rFonts w:ascii="Times New Roman" w:eastAsia="Times New Roman" w:hAnsi="Times New Roman" w:cs="Times New Roman"/>
                <w:color w:val="auto"/>
                <w:lang w:val="en-US" w:eastAsia="en-US"/>
              </w:rPr>
            </w:pPr>
            <w:r>
              <w:rPr>
                <w:rFonts w:ascii="Times New Roman" w:eastAsia="Times New Roman" w:hAnsi="Times New Roman" w:cs="Times New Roman"/>
                <w:i/>
                <w:iCs/>
                <w:color w:val="auto"/>
                <w:lang w:val="en-US" w:eastAsia="en-US"/>
              </w:rPr>
              <w:t xml:space="preserve">Dưới </w:t>
            </w:r>
            <w:r w:rsidR="006B6262" w:rsidRPr="00735E5A">
              <w:rPr>
                <w:rFonts w:ascii="Times New Roman" w:eastAsia="Times New Roman" w:hAnsi="Times New Roman" w:cs="Times New Roman"/>
                <w:i/>
                <w:iCs/>
                <w:color w:val="auto"/>
                <w:lang w:val="en-US" w:eastAsia="en-US"/>
              </w:rPr>
              <w:t>5 năm</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2,0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7.2</w:t>
            </w:r>
          </w:p>
        </w:tc>
        <w:tc>
          <w:tcPr>
            <w:tcW w:w="4154" w:type="pct"/>
            <w:shd w:val="clear" w:color="auto" w:fill="FFFFFF"/>
            <w:vAlign w:val="center"/>
          </w:tcPr>
          <w:p w:rsidR="006B6262" w:rsidRPr="00735E5A" w:rsidRDefault="006264A8" w:rsidP="00735E5A">
            <w:pPr>
              <w:widowControl/>
              <w:spacing w:after="60"/>
              <w:ind w:left="147" w:right="125"/>
              <w:jc w:val="both"/>
              <w:rPr>
                <w:rFonts w:ascii="Times New Roman" w:eastAsia="Times New Roman" w:hAnsi="Times New Roman" w:cs="Times New Roman"/>
                <w:color w:val="auto"/>
                <w:lang w:val="en-US" w:eastAsia="en-US"/>
              </w:rPr>
            </w:pPr>
            <w:r>
              <w:rPr>
                <w:rFonts w:ascii="Times New Roman" w:eastAsia="Times New Roman" w:hAnsi="Times New Roman" w:cs="Times New Roman"/>
                <w:i/>
                <w:iCs/>
                <w:color w:val="auto"/>
                <w:lang w:val="en-US" w:eastAsia="en-US"/>
              </w:rPr>
              <w:t xml:space="preserve">Từ </w:t>
            </w:r>
            <w:r w:rsidR="006B6262" w:rsidRPr="00735E5A">
              <w:rPr>
                <w:rFonts w:ascii="Times New Roman" w:eastAsia="Times New Roman" w:hAnsi="Times New Roman" w:cs="Times New Roman"/>
                <w:i/>
                <w:iCs/>
                <w:color w:val="auto"/>
                <w:lang w:val="en-US" w:eastAsia="en-US"/>
              </w:rPr>
              <w:t>5 năm đến dưới 10 năm</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3,0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7.3</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Từ 10 năm trở lên</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4,0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8.</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Kinh nghiệm của đấu giá viên hành nghề</w:t>
            </w:r>
          </w:p>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Chỉ chọn chấm điểm một trong các tiêu chí.</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5,0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8.1</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 xml:space="preserve">Không có đấu giá </w:t>
            </w:r>
            <w:r w:rsidR="006264A8">
              <w:rPr>
                <w:rFonts w:ascii="Times New Roman" w:eastAsia="Times New Roman" w:hAnsi="Times New Roman" w:cs="Times New Roman"/>
                <w:i/>
                <w:iCs/>
                <w:color w:val="auto"/>
                <w:lang w:val="en-US" w:eastAsia="en-US"/>
              </w:rPr>
              <w:t xml:space="preserve">viên có thời gian hành nghề từ </w:t>
            </w:r>
            <w:r w:rsidRPr="00735E5A">
              <w:rPr>
                <w:rFonts w:ascii="Times New Roman" w:eastAsia="Times New Roman" w:hAnsi="Times New Roman" w:cs="Times New Roman"/>
                <w:i/>
                <w:iCs/>
                <w:color w:val="auto"/>
                <w:lang w:val="en-US" w:eastAsia="en-US"/>
              </w:rPr>
              <w:t>5 năm trở lên</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3,0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8.2</w:t>
            </w:r>
          </w:p>
        </w:tc>
        <w:tc>
          <w:tcPr>
            <w:tcW w:w="4154" w:type="pct"/>
            <w:shd w:val="clear" w:color="auto" w:fill="FFFFFF"/>
            <w:vAlign w:val="center"/>
          </w:tcPr>
          <w:p w:rsidR="006B6262" w:rsidRPr="00735E5A" w:rsidRDefault="006264A8" w:rsidP="00735E5A">
            <w:pPr>
              <w:widowControl/>
              <w:spacing w:after="60"/>
              <w:ind w:left="147" w:right="125"/>
              <w:jc w:val="both"/>
              <w:rPr>
                <w:rFonts w:ascii="Times New Roman" w:eastAsia="Times New Roman" w:hAnsi="Times New Roman" w:cs="Times New Roman"/>
                <w:color w:val="auto"/>
                <w:lang w:val="en-US" w:eastAsia="en-US"/>
              </w:rPr>
            </w:pPr>
            <w:r>
              <w:rPr>
                <w:rFonts w:ascii="Times New Roman" w:eastAsia="Times New Roman" w:hAnsi="Times New Roman" w:cs="Times New Roman"/>
                <w:i/>
                <w:iCs/>
                <w:color w:val="auto"/>
                <w:lang w:val="en-US" w:eastAsia="en-US"/>
              </w:rPr>
              <w:t xml:space="preserve">Có từ 1 đến </w:t>
            </w:r>
            <w:r w:rsidR="006B6262" w:rsidRPr="00735E5A">
              <w:rPr>
                <w:rFonts w:ascii="Times New Roman" w:eastAsia="Times New Roman" w:hAnsi="Times New Roman" w:cs="Times New Roman"/>
                <w:i/>
                <w:iCs/>
                <w:color w:val="auto"/>
                <w:lang w:val="en-US" w:eastAsia="en-US"/>
              </w:rPr>
              <w:t xml:space="preserve">3 đấu giá </w:t>
            </w:r>
            <w:r>
              <w:rPr>
                <w:rFonts w:ascii="Times New Roman" w:eastAsia="Times New Roman" w:hAnsi="Times New Roman" w:cs="Times New Roman"/>
                <w:i/>
                <w:iCs/>
                <w:color w:val="auto"/>
                <w:lang w:val="en-US" w:eastAsia="en-US"/>
              </w:rPr>
              <w:t xml:space="preserve">viên có thời gian hành nghề từ </w:t>
            </w:r>
            <w:r w:rsidR="006B6262" w:rsidRPr="00735E5A">
              <w:rPr>
                <w:rFonts w:ascii="Times New Roman" w:eastAsia="Times New Roman" w:hAnsi="Times New Roman" w:cs="Times New Roman"/>
                <w:i/>
                <w:iCs/>
                <w:color w:val="auto"/>
                <w:lang w:val="en-US" w:eastAsia="en-US"/>
              </w:rPr>
              <w:t>5 năm trở lên</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4,0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8.3</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 xml:space="preserve">Có từ 4 đấu giá viên trở </w:t>
            </w:r>
            <w:r w:rsidR="006264A8">
              <w:rPr>
                <w:rFonts w:ascii="Times New Roman" w:eastAsia="Times New Roman" w:hAnsi="Times New Roman" w:cs="Times New Roman"/>
                <w:i/>
                <w:iCs/>
                <w:color w:val="auto"/>
                <w:lang w:val="en-US" w:eastAsia="en-US"/>
              </w:rPr>
              <w:t xml:space="preserve">lên có thời gian hành nghề từ </w:t>
            </w:r>
            <w:r w:rsidRPr="00735E5A">
              <w:rPr>
                <w:rFonts w:ascii="Times New Roman" w:eastAsia="Times New Roman" w:hAnsi="Times New Roman" w:cs="Times New Roman"/>
                <w:i/>
                <w:iCs/>
                <w:color w:val="auto"/>
                <w:lang w:val="en-US" w:eastAsia="en-US"/>
              </w:rPr>
              <w:t>5 năm trở lên</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5,0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9.</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i/>
                <w:iCs/>
                <w:color w:val="auto"/>
                <w:lang w:val="en-US" w:eastAsia="en-US"/>
              </w:rPr>
              <w:t xml:space="preserve">Số thuế thu nhập doanh </w:t>
            </w:r>
            <w:r w:rsidR="006264A8">
              <w:rPr>
                <w:rFonts w:ascii="Times New Roman" w:eastAsia="Times New Roman" w:hAnsi="Times New Roman" w:cs="Times New Roman"/>
                <w:b/>
                <w:bCs/>
                <w:i/>
                <w:iCs/>
                <w:color w:val="auto"/>
                <w:lang w:val="en-US" w:eastAsia="en-US"/>
              </w:rPr>
              <w:t>nghiệp hoặc khoản tiền nộp vào N</w:t>
            </w:r>
            <w:r w:rsidRPr="00735E5A">
              <w:rPr>
                <w:rFonts w:ascii="Times New Roman" w:eastAsia="Times New Roman" w:hAnsi="Times New Roman" w:cs="Times New Roman"/>
                <w:b/>
                <w:bCs/>
                <w:i/>
                <w:iCs/>
                <w:color w:val="auto"/>
                <w:lang w:val="en-US" w:eastAsia="en-US"/>
              </w:rPr>
              <w:t>gân s</w:t>
            </w:r>
            <w:r w:rsidR="006264A8">
              <w:rPr>
                <w:rFonts w:ascii="Times New Roman" w:eastAsia="Times New Roman" w:hAnsi="Times New Roman" w:cs="Times New Roman"/>
                <w:b/>
                <w:bCs/>
                <w:i/>
                <w:iCs/>
                <w:color w:val="auto"/>
                <w:lang w:val="en-US" w:eastAsia="en-US"/>
              </w:rPr>
              <w:t>ách Nhà nước đối với Trung tâm D</w:t>
            </w:r>
            <w:r w:rsidRPr="00735E5A">
              <w:rPr>
                <w:rFonts w:ascii="Times New Roman" w:eastAsia="Times New Roman" w:hAnsi="Times New Roman" w:cs="Times New Roman"/>
                <w:b/>
                <w:bCs/>
                <w:i/>
                <w:iCs/>
                <w:color w:val="auto"/>
                <w:lang w:val="en-US" w:eastAsia="en-US"/>
              </w:rPr>
              <w:t>ịch vụ đấu giá tài sản trong năm trước liền kề, trừ thuế giá trị gia tăng (Số thuế thu nhập doanh nghiệp phải n</w:t>
            </w:r>
            <w:r w:rsidR="006264A8">
              <w:rPr>
                <w:rFonts w:ascii="Times New Roman" w:eastAsia="Times New Roman" w:hAnsi="Times New Roman" w:cs="Times New Roman"/>
                <w:b/>
                <w:bCs/>
                <w:i/>
                <w:iCs/>
                <w:color w:val="auto"/>
                <w:lang w:val="en-US" w:eastAsia="en-US"/>
              </w:rPr>
              <w:t>ộp theo t</w:t>
            </w:r>
            <w:r w:rsidRPr="00735E5A">
              <w:rPr>
                <w:rFonts w:ascii="Times New Roman" w:eastAsia="Times New Roman" w:hAnsi="Times New Roman" w:cs="Times New Roman"/>
                <w:b/>
                <w:bCs/>
                <w:i/>
                <w:iCs/>
                <w:color w:val="auto"/>
                <w:lang w:val="en-US" w:eastAsia="en-US"/>
              </w:rPr>
              <w:t>ờ khai quyết toán thuế thu nhập doanh nghiệp trong báo cáo tài chính và số thuế thực nộp được cơ quan thuế xác nhận bằng chứng từ điện tử;</w:t>
            </w:r>
            <w:r w:rsidRPr="00735E5A">
              <w:rPr>
                <w:rFonts w:ascii="Times New Roman" w:eastAsia="Times New Roman" w:hAnsi="Times New Roman" w:cs="Times New Roman"/>
                <w:b/>
                <w:bCs/>
                <w:color w:val="auto"/>
                <w:lang w:val="en-US" w:eastAsia="en-US"/>
              </w:rPr>
              <w:t xml:space="preserve"> </w:t>
            </w:r>
            <w:r w:rsidR="006264A8">
              <w:rPr>
                <w:rFonts w:ascii="Times New Roman" w:eastAsia="Times New Roman" w:hAnsi="Times New Roman" w:cs="Times New Roman"/>
                <w:b/>
                <w:bCs/>
                <w:i/>
                <w:iCs/>
                <w:color w:val="auto"/>
                <w:lang w:val="en-US" w:eastAsia="en-US"/>
              </w:rPr>
              <w:t>đối với Trung tâm D</w:t>
            </w:r>
            <w:r w:rsidRPr="00735E5A">
              <w:rPr>
                <w:rFonts w:ascii="Times New Roman" w:eastAsia="Times New Roman" w:hAnsi="Times New Roman" w:cs="Times New Roman"/>
                <w:b/>
                <w:bCs/>
                <w:i/>
                <w:iCs/>
                <w:color w:val="auto"/>
                <w:lang w:val="en-US" w:eastAsia="en-US"/>
              </w:rPr>
              <w:t>ịch vụ đấu giá tài sản thì có văn bản về vi</w:t>
            </w:r>
            <w:r w:rsidR="006264A8">
              <w:rPr>
                <w:rFonts w:ascii="Times New Roman" w:eastAsia="Times New Roman" w:hAnsi="Times New Roman" w:cs="Times New Roman"/>
                <w:b/>
                <w:bCs/>
                <w:i/>
                <w:iCs/>
                <w:color w:val="auto"/>
                <w:lang w:val="en-US" w:eastAsia="en-US"/>
              </w:rPr>
              <w:t>ệc thực hiện nghĩa vụ thuế với N</w:t>
            </w:r>
            <w:r w:rsidRPr="00735E5A">
              <w:rPr>
                <w:rFonts w:ascii="Times New Roman" w:eastAsia="Times New Roman" w:hAnsi="Times New Roman" w:cs="Times New Roman"/>
                <w:b/>
                <w:bCs/>
                <w:i/>
                <w:iCs/>
                <w:color w:val="auto"/>
                <w:lang w:val="en-US" w:eastAsia="en-US"/>
              </w:rPr>
              <w:t>gân sách Nhà nước)</w:t>
            </w:r>
          </w:p>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Chỉ chọn chấm điểm một trong các tiêu chí.</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b/>
                <w:color w:val="auto"/>
                <w:lang w:val="en-US" w:eastAsia="en-US"/>
              </w:rPr>
            </w:pPr>
            <w:r w:rsidRPr="00735E5A">
              <w:rPr>
                <w:rFonts w:ascii="Times New Roman" w:eastAsia="Times New Roman" w:hAnsi="Times New Roman" w:cs="Times New Roman"/>
                <w:b/>
                <w:color w:val="auto"/>
                <w:lang w:val="en-US" w:eastAsia="en-US"/>
              </w:rPr>
              <w:t>5,0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9.1</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Dưới 50 triệu đồng</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3,0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9.2</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Từ 50 triệu đồng đến dưới 100 triệu đồng</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4,0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9.3</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Từ 100 triệu đồng trở lên</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i/>
                <w:iCs/>
                <w:color w:val="auto"/>
                <w:lang w:val="en-US" w:eastAsia="en-US"/>
              </w:rPr>
              <w:t>5,0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b/>
                <w:bCs/>
                <w:color w:val="auto"/>
                <w:lang w:val="en-US" w:eastAsia="en-US"/>
              </w:rPr>
              <w:t>V</w:t>
            </w:r>
          </w:p>
        </w:tc>
        <w:tc>
          <w:tcPr>
            <w:tcW w:w="4154" w:type="pct"/>
            <w:shd w:val="clear" w:color="auto" w:fill="FFFFFF"/>
            <w:vAlign w:val="center"/>
          </w:tcPr>
          <w:p w:rsidR="006B6262" w:rsidRPr="00735E5A" w:rsidRDefault="006B6262" w:rsidP="00735E5A">
            <w:pPr>
              <w:widowControl/>
              <w:spacing w:after="60"/>
              <w:ind w:left="147" w:right="125"/>
              <w:jc w:val="both"/>
              <w:rPr>
                <w:rFonts w:ascii="Times New Roman" w:eastAsia="Times New Roman" w:hAnsi="Times New Roman" w:cs="Times New Roman"/>
                <w:color w:val="auto"/>
                <w:spacing w:val="-6"/>
                <w:lang w:val="en-US" w:eastAsia="en-US"/>
              </w:rPr>
            </w:pPr>
            <w:r w:rsidRPr="00735E5A">
              <w:rPr>
                <w:rFonts w:ascii="Times New Roman" w:eastAsia="Times New Roman" w:hAnsi="Times New Roman" w:cs="Times New Roman"/>
                <w:b/>
                <w:bCs/>
                <w:color w:val="auto"/>
                <w:spacing w:val="-6"/>
                <w:lang w:val="en-US" w:eastAsia="en-US"/>
              </w:rPr>
              <w:t xml:space="preserve">Tiêu chí khác phù hợp với tài sản đấu giá do người có tài sản đấu giá quyết định </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b/>
                <w:color w:val="auto"/>
                <w:lang w:val="en-US" w:eastAsia="en-US"/>
              </w:rPr>
            </w:pPr>
            <w:r w:rsidRPr="00735E5A">
              <w:rPr>
                <w:rFonts w:ascii="Times New Roman" w:eastAsia="Times New Roman" w:hAnsi="Times New Roman" w:cs="Times New Roman"/>
                <w:b/>
                <w:color w:val="auto"/>
                <w:lang w:val="en-US" w:eastAsia="en-US"/>
              </w:rPr>
              <w:t>8,0</w:t>
            </w:r>
          </w:p>
        </w:tc>
      </w:tr>
      <w:tr w:rsidR="00906C87" w:rsidRPr="00735E5A" w:rsidTr="002C0031">
        <w:tc>
          <w:tcPr>
            <w:tcW w:w="229" w:type="pct"/>
            <w:shd w:val="clear" w:color="auto" w:fill="FFFFFF"/>
            <w:vAlign w:val="center"/>
          </w:tcPr>
          <w:p w:rsidR="00906C87" w:rsidRPr="00735E5A" w:rsidRDefault="00906C87"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1.</w:t>
            </w:r>
          </w:p>
        </w:tc>
        <w:tc>
          <w:tcPr>
            <w:tcW w:w="4154" w:type="pct"/>
            <w:shd w:val="clear" w:color="auto" w:fill="FFFFFF"/>
            <w:vAlign w:val="center"/>
          </w:tcPr>
          <w:p w:rsidR="00906C87" w:rsidRPr="00735E5A" w:rsidRDefault="00F4533F" w:rsidP="00735E5A">
            <w:pPr>
              <w:pStyle w:val="NormalWeb"/>
              <w:spacing w:before="120" w:beforeAutospacing="0" w:after="60" w:afterAutospacing="0" w:line="234" w:lineRule="atLeast"/>
              <w:rPr>
                <w:color w:val="000000"/>
              </w:rPr>
            </w:pPr>
            <w:r w:rsidRPr="00735E5A">
              <w:t xml:space="preserve">Công ty đấu giá đủ điều kiện để tổ chức đấu giá theo </w:t>
            </w:r>
            <w:r w:rsidR="00906C87" w:rsidRPr="00735E5A">
              <w:t xml:space="preserve"> hình thức đấu giá trực tuyến</w:t>
            </w:r>
          </w:p>
        </w:tc>
        <w:tc>
          <w:tcPr>
            <w:tcW w:w="617" w:type="pct"/>
            <w:shd w:val="clear" w:color="auto" w:fill="FFFFFF"/>
            <w:vAlign w:val="center"/>
          </w:tcPr>
          <w:p w:rsidR="00906C87" w:rsidRPr="00735E5A" w:rsidRDefault="00906C87"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3,0</w:t>
            </w:r>
          </w:p>
        </w:tc>
      </w:tr>
      <w:tr w:rsidR="00906C87" w:rsidRPr="00735E5A" w:rsidTr="002C0031">
        <w:tc>
          <w:tcPr>
            <w:tcW w:w="229" w:type="pct"/>
            <w:shd w:val="clear" w:color="auto" w:fill="FFFFFF"/>
            <w:vAlign w:val="center"/>
          </w:tcPr>
          <w:p w:rsidR="00906C87" w:rsidRPr="00735E5A" w:rsidRDefault="00906C87"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2.</w:t>
            </w:r>
          </w:p>
        </w:tc>
        <w:tc>
          <w:tcPr>
            <w:tcW w:w="4154" w:type="pct"/>
            <w:shd w:val="clear" w:color="auto" w:fill="FFFFFF"/>
            <w:vAlign w:val="center"/>
          </w:tcPr>
          <w:p w:rsidR="00906C87" w:rsidRPr="00735E5A" w:rsidRDefault="00906C87" w:rsidP="00735E5A">
            <w:pPr>
              <w:spacing w:after="60"/>
              <w:rPr>
                <w:rFonts w:ascii="Times New Roman" w:hAnsi="Times New Roman" w:cs="Times New Roman"/>
                <w:b/>
                <w:bCs/>
                <w:i/>
                <w:color w:val="auto"/>
              </w:rPr>
            </w:pPr>
            <w:r w:rsidRPr="00735E5A">
              <w:rPr>
                <w:rFonts w:ascii="Times New Roman" w:hAnsi="Times New Roman" w:cs="Times New Roman"/>
              </w:rPr>
              <w:t>Đã từng ký kết hợp đồng dịch vụ đấu giá tài sản với VietinBank và đã tổ chức cuộc đấu giá thành theo hợp đồng đó</w:t>
            </w:r>
          </w:p>
        </w:tc>
        <w:tc>
          <w:tcPr>
            <w:tcW w:w="617" w:type="pct"/>
            <w:shd w:val="clear" w:color="auto" w:fill="FFFFFF"/>
            <w:vAlign w:val="center"/>
          </w:tcPr>
          <w:p w:rsidR="00906C87" w:rsidRPr="00735E5A" w:rsidRDefault="00906C87"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3,0</w:t>
            </w:r>
          </w:p>
        </w:tc>
      </w:tr>
      <w:tr w:rsidR="006B6262" w:rsidRPr="00735E5A" w:rsidTr="002C0031">
        <w:tc>
          <w:tcPr>
            <w:tcW w:w="229"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lastRenderedPageBreak/>
              <w:t>3.</w:t>
            </w:r>
          </w:p>
        </w:tc>
        <w:tc>
          <w:tcPr>
            <w:tcW w:w="4154" w:type="pct"/>
            <w:shd w:val="clear" w:color="auto" w:fill="FFFFFF"/>
            <w:vAlign w:val="center"/>
          </w:tcPr>
          <w:p w:rsidR="006B6262" w:rsidRPr="00735E5A" w:rsidRDefault="006B6262" w:rsidP="00735E5A">
            <w:pPr>
              <w:widowControl/>
              <w:spacing w:after="60"/>
              <w:ind w:right="125"/>
              <w:jc w:val="both"/>
              <w:rPr>
                <w:rFonts w:ascii="Times New Roman" w:eastAsia="Times New Roman" w:hAnsi="Times New Roman" w:cs="Times New Roman"/>
                <w:color w:val="auto"/>
                <w:spacing w:val="-4"/>
                <w:lang w:val="en-US" w:eastAsia="en-US"/>
              </w:rPr>
            </w:pPr>
            <w:r w:rsidRPr="00735E5A">
              <w:rPr>
                <w:rFonts w:ascii="Times New Roman" w:eastAsia="Times New Roman" w:hAnsi="Times New Roman" w:cs="Times New Roman"/>
                <w:color w:val="auto"/>
                <w:spacing w:val="-4"/>
                <w:lang w:val="en-US" w:eastAsia="en-US"/>
              </w:rPr>
              <w:t xml:space="preserve">Trụ sở chính của tổ chức hành nghề đấu giá tài sản trong phạm vi tỉnh, thành phố nơi có tài sản đấu giá </w:t>
            </w:r>
          </w:p>
        </w:tc>
        <w:tc>
          <w:tcPr>
            <w:tcW w:w="617" w:type="pct"/>
            <w:shd w:val="clear" w:color="auto" w:fill="FFFFFF"/>
            <w:vAlign w:val="center"/>
          </w:tcPr>
          <w:p w:rsidR="006B6262" w:rsidRPr="00735E5A" w:rsidRDefault="00906C87" w:rsidP="00735E5A">
            <w:pPr>
              <w:widowControl/>
              <w:spacing w:after="60"/>
              <w:jc w:val="center"/>
              <w:rPr>
                <w:rFonts w:ascii="Times New Roman" w:eastAsia="Times New Roman" w:hAnsi="Times New Roman" w:cs="Times New Roman"/>
                <w:color w:val="auto"/>
                <w:lang w:val="en-US" w:eastAsia="en-US"/>
              </w:rPr>
            </w:pPr>
            <w:r w:rsidRPr="00735E5A">
              <w:rPr>
                <w:rFonts w:ascii="Times New Roman" w:eastAsia="Times New Roman" w:hAnsi="Times New Roman" w:cs="Times New Roman"/>
                <w:color w:val="auto"/>
                <w:lang w:val="en-US" w:eastAsia="en-US"/>
              </w:rPr>
              <w:t>2</w:t>
            </w:r>
            <w:r w:rsidR="006B6262" w:rsidRPr="00735E5A">
              <w:rPr>
                <w:rFonts w:ascii="Times New Roman" w:eastAsia="Times New Roman" w:hAnsi="Times New Roman" w:cs="Times New Roman"/>
                <w:color w:val="auto"/>
                <w:lang w:val="en-US" w:eastAsia="en-US"/>
              </w:rPr>
              <w:t>,0</w:t>
            </w:r>
          </w:p>
        </w:tc>
      </w:tr>
      <w:tr w:rsidR="006B6262" w:rsidRPr="00735E5A" w:rsidTr="002C0031">
        <w:tc>
          <w:tcPr>
            <w:tcW w:w="4383" w:type="pct"/>
            <w:gridSpan w:val="2"/>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b/>
                <w:color w:val="auto"/>
                <w:lang w:val="en-US" w:eastAsia="en-US"/>
              </w:rPr>
            </w:pPr>
            <w:r w:rsidRPr="00735E5A">
              <w:rPr>
                <w:rFonts w:ascii="Times New Roman" w:eastAsia="Times New Roman" w:hAnsi="Times New Roman" w:cs="Times New Roman"/>
                <w:b/>
                <w:bCs/>
                <w:color w:val="auto"/>
                <w:lang w:val="en-US" w:eastAsia="en-US"/>
              </w:rPr>
              <w:t>Tổng số điểm</w:t>
            </w:r>
          </w:p>
        </w:tc>
        <w:tc>
          <w:tcPr>
            <w:tcW w:w="617" w:type="pct"/>
            <w:shd w:val="clear" w:color="auto" w:fill="FFFFFF"/>
            <w:vAlign w:val="center"/>
          </w:tcPr>
          <w:p w:rsidR="006B6262" w:rsidRPr="00735E5A" w:rsidRDefault="006B6262" w:rsidP="00735E5A">
            <w:pPr>
              <w:widowControl/>
              <w:spacing w:after="60"/>
              <w:jc w:val="center"/>
              <w:rPr>
                <w:rFonts w:ascii="Times New Roman" w:eastAsia="Times New Roman" w:hAnsi="Times New Roman" w:cs="Times New Roman"/>
                <w:b/>
                <w:color w:val="auto"/>
                <w:lang w:val="en-US" w:eastAsia="en-US"/>
              </w:rPr>
            </w:pPr>
            <w:r w:rsidRPr="00735E5A">
              <w:rPr>
                <w:rFonts w:ascii="Times New Roman" w:eastAsia="Times New Roman" w:hAnsi="Times New Roman" w:cs="Times New Roman"/>
                <w:b/>
                <w:color w:val="auto"/>
                <w:lang w:val="en-US" w:eastAsia="en-US"/>
              </w:rPr>
              <w:t>100</w:t>
            </w:r>
          </w:p>
        </w:tc>
      </w:tr>
    </w:tbl>
    <w:p w:rsidR="009130A7" w:rsidRPr="00735E5A" w:rsidRDefault="009130A7" w:rsidP="00735E5A">
      <w:pPr>
        <w:spacing w:after="60"/>
        <w:rPr>
          <w:rFonts w:ascii="Times New Roman" w:hAnsi="Times New Roman" w:cs="Times New Roman"/>
        </w:rPr>
      </w:pPr>
    </w:p>
    <w:p w:rsidR="00735E5A" w:rsidRPr="00735E5A" w:rsidRDefault="00027D19" w:rsidP="006264A8">
      <w:pPr>
        <w:spacing w:after="60"/>
        <w:ind w:hanging="90"/>
        <w:jc w:val="right"/>
        <w:rPr>
          <w:rFonts w:ascii="Times New Roman" w:hAnsi="Times New Roman" w:cs="Times New Roman"/>
        </w:rPr>
      </w:pPr>
      <w:r>
        <w:rPr>
          <w:rFonts w:ascii="Times New Roman" w:hAnsi="Times New Roman" w:cs="Times New Roman"/>
          <w:b/>
          <w:lang w:val="en-US"/>
        </w:rPr>
        <w:t xml:space="preserve">                                                                   </w:t>
      </w:r>
      <w:bookmarkStart w:id="0" w:name="_GoBack"/>
      <w:bookmarkEnd w:id="0"/>
      <w:r>
        <w:rPr>
          <w:rFonts w:ascii="Times New Roman" w:hAnsi="Times New Roman" w:cs="Times New Roman"/>
          <w:b/>
          <w:lang w:val="en-US"/>
        </w:rPr>
        <w:t xml:space="preserve">         </w:t>
      </w:r>
      <w:r w:rsidR="006264A8">
        <w:rPr>
          <w:rFonts w:ascii="Times New Roman" w:hAnsi="Times New Roman" w:cs="Times New Roman"/>
          <w:b/>
          <w:lang w:val="en-US"/>
        </w:rPr>
        <w:t>VIETINBANK GIA ĐỊNH</w:t>
      </w:r>
    </w:p>
    <w:sectPr w:rsidR="00735E5A" w:rsidRPr="00735E5A" w:rsidSect="00575942">
      <w:pgSz w:w="11909" w:h="16834" w:code="9"/>
      <w:pgMar w:top="1134" w:right="1134" w:bottom="1134" w:left="1701" w:header="720" w:footer="210" w:gutter="0"/>
      <w:cols w:space="720"/>
      <w:titlePg/>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20"/>
  <w:drawingGridHorizontalSpacing w:val="110"/>
  <w:drawingGridVerticalSpacing w:val="36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262"/>
    <w:rsid w:val="00027D19"/>
    <w:rsid w:val="000D38A1"/>
    <w:rsid w:val="003127D3"/>
    <w:rsid w:val="004B46FC"/>
    <w:rsid w:val="00575942"/>
    <w:rsid w:val="006264A8"/>
    <w:rsid w:val="006B6262"/>
    <w:rsid w:val="00735E5A"/>
    <w:rsid w:val="00906C87"/>
    <w:rsid w:val="009130A7"/>
    <w:rsid w:val="00B277C4"/>
    <w:rsid w:val="00F4533F"/>
    <w:rsid w:val="00F83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EABB"/>
  <w15:docId w15:val="{1ECA8FE2-D872-4171-B9A9-9EC74064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262"/>
    <w:pPr>
      <w:widowControl w:val="0"/>
      <w:spacing w:after="0" w:line="240" w:lineRule="auto"/>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C87"/>
    <w:pPr>
      <w:widowControl/>
      <w:spacing w:before="100" w:beforeAutospacing="1" w:after="100" w:afterAutospacing="1"/>
    </w:pPr>
    <w:rPr>
      <w:rFonts w:ascii="Times New Roman" w:eastAsia="Times New Roman" w:hAnsi="Times New Roman" w:cs="Times New Roman"/>
      <w:color w:val="auto"/>
      <w:lang w:val="en-US" w:eastAsia="en-US"/>
    </w:rPr>
  </w:style>
  <w:style w:type="table" w:styleId="TableGrid">
    <w:name w:val="Table Grid"/>
    <w:basedOn w:val="TableNormal"/>
    <w:uiPriority w:val="59"/>
    <w:rsid w:val="0073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7D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D19"/>
    <w:rPr>
      <w:rFonts w:ascii="Segoe UI" w:eastAsia="Microsoft Sans Serif"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Hoàng Thị Phượng Minh</cp:lastModifiedBy>
  <cp:revision>2</cp:revision>
  <cp:lastPrinted>2025-04-03T06:19:00Z</cp:lastPrinted>
  <dcterms:created xsi:type="dcterms:W3CDTF">2025-08-06T04:02:00Z</dcterms:created>
  <dcterms:modified xsi:type="dcterms:W3CDTF">2025-08-06T04:02:00Z</dcterms:modified>
</cp:coreProperties>
</file>