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E0427" w14:textId="0B8DBBB6" w:rsidR="000879BA" w:rsidRDefault="000879BA" w:rsidP="004F2FA7">
      <w:pPr>
        <w:pStyle w:val="Default"/>
        <w:spacing w:line="300" w:lineRule="auto"/>
        <w:ind w:left="360"/>
        <w:jc w:val="center"/>
        <w:rPr>
          <w:b/>
          <w:color w:val="auto"/>
        </w:rPr>
      </w:pPr>
      <w:r w:rsidRPr="00A978B8">
        <w:rPr>
          <w:b/>
          <w:color w:val="auto"/>
        </w:rPr>
        <w:t xml:space="preserve">THỂ LỆ </w:t>
      </w:r>
      <w:r w:rsidR="00001E55">
        <w:rPr>
          <w:b/>
          <w:color w:val="auto"/>
        </w:rPr>
        <w:t xml:space="preserve">GÓI SẢN PHẨM </w:t>
      </w:r>
      <w:r w:rsidRPr="00A978B8">
        <w:rPr>
          <w:b/>
          <w:color w:val="auto"/>
        </w:rPr>
        <w:t>V-FAMILY</w:t>
      </w:r>
    </w:p>
    <w:p w14:paraId="5766E5D2" w14:textId="77777777" w:rsidR="00001E55" w:rsidRPr="00A978B8" w:rsidRDefault="00001E55" w:rsidP="004F2FA7">
      <w:pPr>
        <w:pStyle w:val="Default"/>
        <w:spacing w:line="300" w:lineRule="auto"/>
        <w:ind w:left="360"/>
        <w:jc w:val="center"/>
        <w:rPr>
          <w:b/>
          <w:color w:val="auto"/>
        </w:rPr>
      </w:pPr>
      <w:bookmarkStart w:id="0" w:name="_GoBack"/>
      <w:bookmarkEnd w:id="0"/>
    </w:p>
    <w:p w14:paraId="34CD14EA" w14:textId="7895E84F" w:rsidR="007D7C7C" w:rsidRPr="00A978B8" w:rsidRDefault="007D7C7C" w:rsidP="004F2FA7">
      <w:pPr>
        <w:pStyle w:val="Default"/>
        <w:numPr>
          <w:ilvl w:val="0"/>
          <w:numId w:val="12"/>
        </w:numPr>
        <w:spacing w:line="300" w:lineRule="auto"/>
        <w:jc w:val="both"/>
        <w:rPr>
          <w:b/>
          <w:color w:val="auto"/>
        </w:rPr>
      </w:pPr>
      <w:r w:rsidRPr="00A978B8">
        <w:rPr>
          <w:b/>
          <w:color w:val="auto"/>
        </w:rPr>
        <w:t xml:space="preserve">Chính sách ưu đãi dành cho nhóm gia đình </w:t>
      </w:r>
    </w:p>
    <w:p w14:paraId="77896D6C" w14:textId="487DF24B" w:rsidR="00226209" w:rsidRPr="00A978B8" w:rsidRDefault="00226209" w:rsidP="004F2FA7">
      <w:pPr>
        <w:pStyle w:val="Default"/>
        <w:numPr>
          <w:ilvl w:val="1"/>
          <w:numId w:val="12"/>
        </w:numPr>
        <w:spacing w:line="300" w:lineRule="auto"/>
        <w:jc w:val="both"/>
        <w:rPr>
          <w:color w:val="auto"/>
        </w:rPr>
      </w:pPr>
      <w:r w:rsidRPr="00A978B8">
        <w:rPr>
          <w:b/>
          <w:color w:val="auto"/>
        </w:rPr>
        <w:t xml:space="preserve">Thời gian: </w:t>
      </w:r>
      <w:r w:rsidRPr="00A978B8">
        <w:rPr>
          <w:color w:val="auto"/>
        </w:rPr>
        <w:t>Từ 25/10/2024 đến hết 31/3/2025</w:t>
      </w:r>
      <w:r w:rsidR="000879BA" w:rsidRPr="00A978B8">
        <w:rPr>
          <w:color w:val="auto"/>
        </w:rPr>
        <w:t xml:space="preserve"> hoặc đến khi có thông báo khác (tùy thuộc điều kiện nào đến trước)</w:t>
      </w:r>
    </w:p>
    <w:p w14:paraId="0DCEC406" w14:textId="21BB044F" w:rsidR="00226209" w:rsidRPr="00A978B8" w:rsidRDefault="00226209" w:rsidP="004F2FA7">
      <w:pPr>
        <w:pStyle w:val="Default"/>
        <w:numPr>
          <w:ilvl w:val="1"/>
          <w:numId w:val="12"/>
        </w:numPr>
        <w:spacing w:line="300" w:lineRule="auto"/>
        <w:jc w:val="both"/>
        <w:rPr>
          <w:b/>
          <w:color w:val="auto"/>
        </w:rPr>
      </w:pPr>
      <w:r w:rsidRPr="00A978B8">
        <w:rPr>
          <w:b/>
          <w:color w:val="auto"/>
        </w:rPr>
        <w:t>Nội dung chính sách:</w:t>
      </w:r>
    </w:p>
    <w:p w14:paraId="435224D8" w14:textId="77777777" w:rsidR="000879BA" w:rsidRPr="00A978B8" w:rsidRDefault="000879BA" w:rsidP="004F2FA7">
      <w:pPr>
        <w:pStyle w:val="Default"/>
        <w:spacing w:line="300" w:lineRule="auto"/>
        <w:ind w:firstLine="360"/>
        <w:jc w:val="both"/>
        <w:rPr>
          <w:color w:val="auto"/>
          <w:u w:val="single"/>
        </w:rPr>
      </w:pPr>
      <w:r w:rsidRPr="00A978B8">
        <w:rPr>
          <w:color w:val="auto"/>
        </w:rPr>
        <w:t>Để áp dụng ưu đãi trong gói V-Family, Khách hàng cá nhân thỏa mãn đồng thời các điều kiện sau:</w:t>
      </w:r>
    </w:p>
    <w:p w14:paraId="415C50BB" w14:textId="512C444C" w:rsidR="000879BA" w:rsidRPr="00A978B8" w:rsidRDefault="000879BA" w:rsidP="004F2FA7">
      <w:pPr>
        <w:pStyle w:val="ListParagraph"/>
        <w:tabs>
          <w:tab w:val="left" w:pos="1095"/>
        </w:tabs>
        <w:spacing w:after="0" w:line="300" w:lineRule="auto"/>
        <w:jc w:val="both"/>
        <w:rPr>
          <w:rFonts w:ascii="Times New Roman" w:hAnsi="Times New Roman"/>
          <w:sz w:val="24"/>
          <w:szCs w:val="24"/>
          <w:lang w:val="en-US"/>
        </w:rPr>
      </w:pPr>
      <w:r w:rsidRPr="00A978B8">
        <w:rPr>
          <w:rFonts w:ascii="Times New Roman" w:hAnsi="Times New Roman"/>
          <w:sz w:val="24"/>
          <w:szCs w:val="24"/>
          <w:lang w:val="en-US"/>
        </w:rPr>
        <w:t>(i) Khách hàng đang thuộc 1</w:t>
      </w:r>
      <w:r w:rsidR="00A6512A" w:rsidRPr="00A978B8">
        <w:rPr>
          <w:rFonts w:ascii="Times New Roman" w:hAnsi="Times New Roman"/>
          <w:sz w:val="24"/>
          <w:szCs w:val="24"/>
          <w:lang w:val="en-US"/>
        </w:rPr>
        <w:t xml:space="preserve"> nhóm gia đình – mỗi nhóm gia đình tương ứng 1 mã</w:t>
      </w:r>
      <w:r w:rsidRPr="00A978B8">
        <w:rPr>
          <w:rFonts w:ascii="Times New Roman" w:hAnsi="Times New Roman"/>
          <w:sz w:val="24"/>
          <w:szCs w:val="24"/>
          <w:lang w:val="en-US"/>
        </w:rPr>
        <w:t xml:space="preserve"> Family ID</w:t>
      </w:r>
      <w:r w:rsidR="00A6512A" w:rsidRPr="00A978B8">
        <w:rPr>
          <w:rFonts w:ascii="Times New Roman" w:hAnsi="Times New Roman"/>
          <w:sz w:val="24"/>
          <w:szCs w:val="24"/>
          <w:lang w:val="en-US"/>
        </w:rPr>
        <w:t xml:space="preserve"> duy nhất trên hệ thống</w:t>
      </w:r>
      <w:r w:rsidR="00A6512A" w:rsidRPr="00A978B8">
        <w:rPr>
          <w:rStyle w:val="FootnoteReference"/>
          <w:rFonts w:ascii="Times New Roman" w:hAnsi="Times New Roman"/>
          <w:sz w:val="24"/>
          <w:szCs w:val="24"/>
          <w:lang w:val="en-US"/>
        </w:rPr>
        <w:footnoteReference w:id="1"/>
      </w:r>
      <w:r w:rsidRPr="00A978B8">
        <w:rPr>
          <w:rFonts w:ascii="Times New Roman" w:hAnsi="Times New Roman"/>
          <w:sz w:val="24"/>
          <w:szCs w:val="24"/>
          <w:lang w:val="en-US"/>
        </w:rPr>
        <w:t xml:space="preserve"> </w:t>
      </w:r>
    </w:p>
    <w:p w14:paraId="0D91DCBF" w14:textId="77777777" w:rsidR="000879BA" w:rsidRPr="00A978B8" w:rsidRDefault="000879BA" w:rsidP="004F2FA7">
      <w:pPr>
        <w:pStyle w:val="ListParagraph"/>
        <w:tabs>
          <w:tab w:val="left" w:pos="1095"/>
        </w:tabs>
        <w:spacing w:after="0" w:line="300" w:lineRule="auto"/>
        <w:jc w:val="both"/>
        <w:rPr>
          <w:rFonts w:ascii="Times New Roman" w:hAnsi="Times New Roman"/>
          <w:sz w:val="24"/>
          <w:szCs w:val="24"/>
          <w:lang w:val="en-US"/>
        </w:rPr>
      </w:pPr>
      <w:r w:rsidRPr="00A978B8">
        <w:rPr>
          <w:rFonts w:ascii="Times New Roman" w:hAnsi="Times New Roman"/>
          <w:sz w:val="24"/>
          <w:szCs w:val="24"/>
          <w:lang w:val="en-US"/>
        </w:rPr>
        <w:t xml:space="preserve">(ii) Tổng số dư tiền gửi </w:t>
      </w:r>
      <w:r w:rsidRPr="00A978B8">
        <w:rPr>
          <w:rFonts w:ascii="Times New Roman" w:hAnsi="Times New Roman"/>
          <w:sz w:val="24"/>
          <w:szCs w:val="24"/>
          <w:lang w:val="vi-VN"/>
        </w:rPr>
        <w:t>có kỳ hạn</w:t>
      </w:r>
      <w:r w:rsidRPr="00A978B8">
        <w:rPr>
          <w:rFonts w:ascii="Times New Roman" w:hAnsi="Times New Roman"/>
          <w:sz w:val="24"/>
          <w:szCs w:val="24"/>
          <w:lang w:val="en-US"/>
        </w:rPr>
        <w:t xml:space="preserve"> của nhóm gia đình đáp ứng điều kiện áp dụng ưu đãi tại bảng dưới đây. </w:t>
      </w:r>
    </w:p>
    <w:p w14:paraId="2FCE3174" w14:textId="77777777" w:rsidR="000879BA" w:rsidRPr="00A978B8" w:rsidRDefault="000879BA" w:rsidP="004F2FA7">
      <w:pPr>
        <w:pStyle w:val="ListParagraph"/>
        <w:tabs>
          <w:tab w:val="left" w:pos="1095"/>
        </w:tabs>
        <w:spacing w:after="0" w:line="300" w:lineRule="auto"/>
        <w:jc w:val="both"/>
        <w:rPr>
          <w:rFonts w:ascii="Times New Roman" w:hAnsi="Times New Roman"/>
          <w:sz w:val="24"/>
          <w:szCs w:val="24"/>
          <w:lang w:val="en-US"/>
        </w:rPr>
      </w:pPr>
      <w:r w:rsidRPr="00A978B8">
        <w:rPr>
          <w:rFonts w:ascii="Times New Roman" w:hAnsi="Times New Roman"/>
          <w:sz w:val="24"/>
          <w:szCs w:val="24"/>
          <w:lang w:val="en-US"/>
        </w:rPr>
        <w:t xml:space="preserve">Trong đó:  </w:t>
      </w:r>
      <w:r w:rsidRPr="00A978B8">
        <w:rPr>
          <w:rFonts w:ascii="Times New Roman" w:hAnsi="Times New Roman"/>
          <w:b/>
          <w:sz w:val="24"/>
          <w:szCs w:val="24"/>
          <w:lang w:val="en-US"/>
        </w:rPr>
        <w:t>T</w:t>
      </w:r>
      <w:r w:rsidRPr="00A978B8">
        <w:rPr>
          <w:rFonts w:ascii="Times New Roman" w:hAnsi="Times New Roman"/>
          <w:b/>
          <w:sz w:val="24"/>
          <w:szCs w:val="24"/>
        </w:rPr>
        <w:t xml:space="preserve">ổng số dư </w:t>
      </w:r>
      <w:r w:rsidRPr="00A978B8">
        <w:rPr>
          <w:rFonts w:ascii="Times New Roman" w:hAnsi="Times New Roman"/>
          <w:b/>
          <w:sz w:val="24"/>
          <w:szCs w:val="24"/>
          <w:lang w:val="en-US"/>
        </w:rPr>
        <w:t xml:space="preserve">tiền gửi </w:t>
      </w:r>
      <w:r w:rsidRPr="00A978B8">
        <w:rPr>
          <w:rFonts w:ascii="Times New Roman" w:hAnsi="Times New Roman"/>
          <w:b/>
          <w:sz w:val="24"/>
          <w:szCs w:val="24"/>
          <w:lang w:val="vi-VN"/>
        </w:rPr>
        <w:t>có kỳ hạn</w:t>
      </w:r>
      <w:r w:rsidRPr="00A978B8">
        <w:rPr>
          <w:rFonts w:ascii="Times New Roman" w:hAnsi="Times New Roman"/>
          <w:b/>
          <w:sz w:val="24"/>
          <w:szCs w:val="24"/>
        </w:rPr>
        <w:t xml:space="preserve"> của nhóm gia đình</w:t>
      </w:r>
      <w:r w:rsidRPr="00A978B8">
        <w:rPr>
          <w:rStyle w:val="FootnoteReference"/>
          <w:rFonts w:ascii="Times New Roman" w:hAnsi="Times New Roman"/>
          <w:sz w:val="24"/>
          <w:szCs w:val="24"/>
        </w:rPr>
        <w:footnoteReference w:id="2"/>
      </w:r>
      <w:r w:rsidRPr="00A978B8">
        <w:rPr>
          <w:rFonts w:ascii="Times New Roman" w:hAnsi="Times New Roman"/>
          <w:sz w:val="24"/>
          <w:szCs w:val="24"/>
        </w:rPr>
        <w:t xml:space="preserve">= (i) Tổng số dư </w:t>
      </w:r>
      <w:r w:rsidRPr="00A978B8">
        <w:rPr>
          <w:rFonts w:ascii="Times New Roman" w:hAnsi="Times New Roman"/>
          <w:sz w:val="24"/>
          <w:szCs w:val="24"/>
          <w:lang w:val="en-US"/>
        </w:rPr>
        <w:t xml:space="preserve">tiền gửi </w:t>
      </w:r>
      <w:r w:rsidRPr="00A978B8">
        <w:rPr>
          <w:rFonts w:ascii="Times New Roman" w:hAnsi="Times New Roman"/>
          <w:sz w:val="24"/>
          <w:szCs w:val="24"/>
          <w:lang w:val="vi-VN"/>
        </w:rPr>
        <w:t>có kỳ hạn</w:t>
      </w:r>
      <w:r w:rsidRPr="00A978B8">
        <w:rPr>
          <w:rFonts w:ascii="Times New Roman" w:hAnsi="Times New Roman"/>
          <w:sz w:val="24"/>
          <w:szCs w:val="24"/>
        </w:rPr>
        <w:t xml:space="preserve"> của nhóm gia đình đang</w:t>
      </w:r>
      <w:r w:rsidRPr="00A978B8">
        <w:rPr>
          <w:rFonts w:ascii="Times New Roman" w:hAnsi="Times New Roman"/>
          <w:sz w:val="24"/>
          <w:szCs w:val="24"/>
          <w:lang w:val="en-US"/>
        </w:rPr>
        <w:t xml:space="preserve"> hoạt động</w:t>
      </w:r>
      <w:r w:rsidRPr="00A978B8">
        <w:rPr>
          <w:rFonts w:ascii="Times New Roman" w:hAnsi="Times New Roman"/>
          <w:sz w:val="24"/>
          <w:szCs w:val="24"/>
        </w:rPr>
        <w:t xml:space="preserve"> </w:t>
      </w:r>
      <w:r w:rsidRPr="00A978B8">
        <w:rPr>
          <w:rFonts w:ascii="Times New Roman" w:hAnsi="Times New Roman"/>
          <w:sz w:val="24"/>
          <w:szCs w:val="24"/>
          <w:lang w:val="en-US"/>
        </w:rPr>
        <w:t xml:space="preserve">+ </w:t>
      </w:r>
      <w:r w:rsidRPr="00A978B8">
        <w:rPr>
          <w:rFonts w:ascii="Times New Roman" w:hAnsi="Times New Roman"/>
          <w:sz w:val="24"/>
          <w:szCs w:val="24"/>
        </w:rPr>
        <w:t xml:space="preserve"> (ii) Số dư khoản tiền gửi</w:t>
      </w:r>
      <w:r w:rsidRPr="00A978B8">
        <w:rPr>
          <w:rFonts w:ascii="Times New Roman" w:hAnsi="Times New Roman"/>
          <w:sz w:val="24"/>
          <w:szCs w:val="24"/>
          <w:lang w:val="en-US"/>
        </w:rPr>
        <w:t xml:space="preserve"> </w:t>
      </w:r>
      <w:r w:rsidRPr="00A978B8">
        <w:rPr>
          <w:rFonts w:ascii="Times New Roman" w:hAnsi="Times New Roman"/>
          <w:sz w:val="24"/>
          <w:szCs w:val="24"/>
        </w:rPr>
        <w:t xml:space="preserve">các thành viên trong nhóm đang thực hiện </w:t>
      </w:r>
      <w:r w:rsidRPr="00A978B8">
        <w:rPr>
          <w:rFonts w:ascii="Times New Roman" w:hAnsi="Times New Roman"/>
          <w:sz w:val="24"/>
          <w:szCs w:val="24"/>
          <w:lang w:val="vi-VN"/>
        </w:rPr>
        <w:t xml:space="preserve">gửi mới </w:t>
      </w:r>
      <w:r w:rsidRPr="00A978B8">
        <w:rPr>
          <w:rFonts w:ascii="Times New Roman" w:hAnsi="Times New Roman"/>
          <w:sz w:val="24"/>
          <w:szCs w:val="24"/>
        </w:rPr>
        <w:t xml:space="preserve"> (nếu có)</w:t>
      </w:r>
      <w:r w:rsidRPr="00A978B8">
        <w:rPr>
          <w:rFonts w:ascii="Times New Roman" w:hAnsi="Times New Roman"/>
          <w:sz w:val="24"/>
          <w:szCs w:val="24"/>
          <w:lang w:val="en-US"/>
        </w:rPr>
        <w:t xml:space="preserve">. </w:t>
      </w:r>
    </w:p>
    <w:p w14:paraId="144BED1C" w14:textId="034FA6CE" w:rsidR="000879BA" w:rsidRPr="00A978B8" w:rsidRDefault="000879BA" w:rsidP="00425450">
      <w:pPr>
        <w:pStyle w:val="ListParagraph"/>
        <w:tabs>
          <w:tab w:val="left" w:pos="1095"/>
        </w:tabs>
        <w:spacing w:after="0" w:line="300" w:lineRule="auto"/>
        <w:jc w:val="both"/>
        <w:rPr>
          <w:rFonts w:ascii="Times New Roman" w:hAnsi="Times New Roman"/>
          <w:sz w:val="24"/>
          <w:szCs w:val="24"/>
          <w:lang w:val="en-US"/>
        </w:rPr>
      </w:pPr>
      <w:r w:rsidRPr="00A978B8">
        <w:rPr>
          <w:rFonts w:ascii="Times New Roman" w:hAnsi="Times New Roman"/>
          <w:sz w:val="24"/>
          <w:szCs w:val="24"/>
          <w:lang w:val="en-US"/>
        </w:rPr>
        <w:t>(iii) Trong nhóm gia đình có ít nhất 1 thẻ quốc tế (thẻ ghi nợ quốc tế hoặc Thẻ tín dụng quốc tế) ở trạng thái hoạt động “active”.</w:t>
      </w:r>
      <w:r w:rsidRPr="00A978B8">
        <w:t xml:space="preserve"> </w:t>
      </w:r>
    </w:p>
    <w:tbl>
      <w:tblPr>
        <w:tblStyle w:val="TableGrid"/>
        <w:tblW w:w="14220" w:type="dxa"/>
        <w:tblInd w:w="445" w:type="dxa"/>
        <w:tblLook w:val="04A0" w:firstRow="1" w:lastRow="0" w:firstColumn="1" w:lastColumn="0" w:noHBand="0" w:noVBand="1"/>
      </w:tblPr>
      <w:tblGrid>
        <w:gridCol w:w="404"/>
        <w:gridCol w:w="4726"/>
        <w:gridCol w:w="4500"/>
        <w:gridCol w:w="4590"/>
      </w:tblGrid>
      <w:tr w:rsidR="00A978B8" w:rsidRPr="00A978B8" w14:paraId="42CBB64D" w14:textId="77777777" w:rsidTr="00924B09">
        <w:trPr>
          <w:trHeight w:val="451"/>
          <w:tblHeader/>
        </w:trPr>
        <w:tc>
          <w:tcPr>
            <w:tcW w:w="404" w:type="dxa"/>
          </w:tcPr>
          <w:p w14:paraId="3FD406F7" w14:textId="77777777" w:rsidR="000879BA" w:rsidRPr="00A978B8" w:rsidRDefault="000879BA" w:rsidP="004F2FA7">
            <w:pPr>
              <w:pStyle w:val="Default"/>
              <w:spacing w:line="300" w:lineRule="auto"/>
              <w:jc w:val="both"/>
              <w:rPr>
                <w:b/>
                <w:color w:val="auto"/>
              </w:rPr>
            </w:pPr>
            <w:r w:rsidRPr="00A978B8">
              <w:rPr>
                <w:b/>
                <w:color w:val="auto"/>
              </w:rPr>
              <w:t>I.</w:t>
            </w:r>
          </w:p>
        </w:tc>
        <w:tc>
          <w:tcPr>
            <w:tcW w:w="4726" w:type="dxa"/>
          </w:tcPr>
          <w:p w14:paraId="441C099F" w14:textId="77777777" w:rsidR="000879BA" w:rsidRPr="00A978B8" w:rsidRDefault="000879BA" w:rsidP="004F2FA7">
            <w:pPr>
              <w:pStyle w:val="Default"/>
              <w:spacing w:line="300" w:lineRule="auto"/>
              <w:jc w:val="both"/>
              <w:rPr>
                <w:b/>
                <w:color w:val="auto"/>
              </w:rPr>
            </w:pPr>
            <w:r w:rsidRPr="00A978B8">
              <w:rPr>
                <w:b/>
                <w:color w:val="auto"/>
              </w:rPr>
              <w:t>Phân hạng nhóm gia đình</w:t>
            </w:r>
          </w:p>
        </w:tc>
        <w:tc>
          <w:tcPr>
            <w:tcW w:w="4500" w:type="dxa"/>
          </w:tcPr>
          <w:p w14:paraId="4D2BAB59" w14:textId="5D11C347" w:rsidR="000879BA" w:rsidRPr="00A978B8" w:rsidRDefault="000879BA" w:rsidP="004F2FA7">
            <w:pPr>
              <w:pStyle w:val="Default"/>
              <w:spacing w:line="300" w:lineRule="auto"/>
              <w:jc w:val="both"/>
              <w:rPr>
                <w:b/>
                <w:color w:val="auto"/>
              </w:rPr>
            </w:pPr>
            <w:r w:rsidRPr="00A978B8">
              <w:rPr>
                <w:b/>
                <w:color w:val="auto"/>
              </w:rPr>
              <w:t>Gói V-Family</w:t>
            </w:r>
          </w:p>
        </w:tc>
        <w:tc>
          <w:tcPr>
            <w:tcW w:w="4590" w:type="dxa"/>
          </w:tcPr>
          <w:p w14:paraId="1F59602F" w14:textId="77777777" w:rsidR="000879BA" w:rsidRPr="00A978B8" w:rsidRDefault="000879BA" w:rsidP="004F2FA7">
            <w:pPr>
              <w:pStyle w:val="Default"/>
              <w:spacing w:line="300" w:lineRule="auto"/>
              <w:jc w:val="both"/>
              <w:rPr>
                <w:b/>
                <w:color w:val="auto"/>
              </w:rPr>
            </w:pPr>
            <w:r w:rsidRPr="00A978B8">
              <w:rPr>
                <w:b/>
                <w:color w:val="auto"/>
              </w:rPr>
              <w:t>Gói V-Family Plus</w:t>
            </w:r>
          </w:p>
        </w:tc>
      </w:tr>
      <w:tr w:rsidR="00A978B8" w:rsidRPr="00A978B8" w14:paraId="73C422E1" w14:textId="77777777" w:rsidTr="00924B09">
        <w:trPr>
          <w:trHeight w:val="586"/>
        </w:trPr>
        <w:tc>
          <w:tcPr>
            <w:tcW w:w="404" w:type="dxa"/>
          </w:tcPr>
          <w:p w14:paraId="1C1D8FE7" w14:textId="77777777" w:rsidR="000879BA" w:rsidRPr="00A978B8" w:rsidRDefault="000879BA" w:rsidP="004F2FA7">
            <w:pPr>
              <w:pStyle w:val="Default"/>
              <w:spacing w:line="300" w:lineRule="auto"/>
              <w:jc w:val="both"/>
              <w:rPr>
                <w:color w:val="auto"/>
                <w:lang w:val="vi-VN"/>
              </w:rPr>
            </w:pPr>
            <w:r w:rsidRPr="00A978B8">
              <w:rPr>
                <w:color w:val="auto"/>
                <w:lang w:val="vi-VN"/>
              </w:rPr>
              <w:t>1</w:t>
            </w:r>
          </w:p>
        </w:tc>
        <w:tc>
          <w:tcPr>
            <w:tcW w:w="4726" w:type="dxa"/>
          </w:tcPr>
          <w:p w14:paraId="352641EC" w14:textId="77777777" w:rsidR="000879BA" w:rsidRPr="00A978B8" w:rsidRDefault="000879BA" w:rsidP="004F2FA7">
            <w:pPr>
              <w:pStyle w:val="Default"/>
              <w:spacing w:line="300" w:lineRule="auto"/>
              <w:jc w:val="both"/>
              <w:rPr>
                <w:color w:val="auto"/>
              </w:rPr>
            </w:pPr>
            <w:r w:rsidRPr="00A978B8">
              <w:rPr>
                <w:color w:val="auto"/>
              </w:rPr>
              <w:t>Điều kiện về tổng số dư tiền gửi có kỳ hạn của nhóm gia đình</w:t>
            </w:r>
          </w:p>
        </w:tc>
        <w:tc>
          <w:tcPr>
            <w:tcW w:w="4500" w:type="dxa"/>
          </w:tcPr>
          <w:p w14:paraId="17BBCCA2" w14:textId="77777777" w:rsidR="000879BA" w:rsidRPr="00A978B8" w:rsidRDefault="000879BA" w:rsidP="004F2FA7">
            <w:pPr>
              <w:pStyle w:val="Default"/>
              <w:spacing w:line="300" w:lineRule="auto"/>
              <w:jc w:val="both"/>
              <w:rPr>
                <w:color w:val="auto"/>
              </w:rPr>
            </w:pPr>
            <w:r w:rsidRPr="00A978B8">
              <w:rPr>
                <w:color w:val="auto"/>
              </w:rPr>
              <w:t>Từ 300 triệu đến dưới 2 tỷ VNĐ</w:t>
            </w:r>
          </w:p>
        </w:tc>
        <w:tc>
          <w:tcPr>
            <w:tcW w:w="4590" w:type="dxa"/>
          </w:tcPr>
          <w:p w14:paraId="1AA62AC9" w14:textId="77777777" w:rsidR="000879BA" w:rsidRPr="00A978B8" w:rsidRDefault="000879BA" w:rsidP="004F2FA7">
            <w:pPr>
              <w:pStyle w:val="Default"/>
              <w:spacing w:line="300" w:lineRule="auto"/>
              <w:jc w:val="both"/>
              <w:rPr>
                <w:color w:val="auto"/>
              </w:rPr>
            </w:pPr>
            <w:r w:rsidRPr="00A978B8">
              <w:rPr>
                <w:color w:val="auto"/>
              </w:rPr>
              <w:t>Từ 2 tỷ VNĐ trở lên</w:t>
            </w:r>
          </w:p>
        </w:tc>
      </w:tr>
      <w:tr w:rsidR="00A978B8" w:rsidRPr="00A978B8" w14:paraId="14367E2A" w14:textId="77777777" w:rsidTr="002C170E">
        <w:trPr>
          <w:trHeight w:val="415"/>
        </w:trPr>
        <w:tc>
          <w:tcPr>
            <w:tcW w:w="404" w:type="dxa"/>
          </w:tcPr>
          <w:p w14:paraId="467B04FA" w14:textId="77777777" w:rsidR="000879BA" w:rsidRPr="00A978B8" w:rsidRDefault="000879BA" w:rsidP="004F2FA7">
            <w:pPr>
              <w:pStyle w:val="Default"/>
              <w:spacing w:line="300" w:lineRule="auto"/>
              <w:jc w:val="both"/>
              <w:rPr>
                <w:color w:val="auto"/>
                <w:lang w:val="vi-VN"/>
              </w:rPr>
            </w:pPr>
            <w:r w:rsidRPr="00A978B8">
              <w:rPr>
                <w:color w:val="auto"/>
                <w:lang w:val="vi-VN"/>
              </w:rPr>
              <w:t>2</w:t>
            </w:r>
          </w:p>
        </w:tc>
        <w:tc>
          <w:tcPr>
            <w:tcW w:w="4726" w:type="dxa"/>
          </w:tcPr>
          <w:p w14:paraId="787AD2BE" w14:textId="77777777" w:rsidR="000879BA" w:rsidRPr="00A978B8" w:rsidRDefault="000879BA" w:rsidP="004F2FA7">
            <w:pPr>
              <w:pStyle w:val="Default"/>
              <w:spacing w:line="300" w:lineRule="auto"/>
              <w:jc w:val="both"/>
              <w:rPr>
                <w:color w:val="auto"/>
              </w:rPr>
            </w:pPr>
            <w:r w:rsidRPr="00A978B8">
              <w:rPr>
                <w:color w:val="auto"/>
              </w:rPr>
              <w:t xml:space="preserve">Điều kiện về Thẻ quốc tế </w:t>
            </w:r>
          </w:p>
        </w:tc>
        <w:tc>
          <w:tcPr>
            <w:tcW w:w="9090" w:type="dxa"/>
            <w:gridSpan w:val="2"/>
          </w:tcPr>
          <w:p w14:paraId="1AF3C0C1" w14:textId="77777777" w:rsidR="000879BA" w:rsidRPr="00A978B8" w:rsidRDefault="000879BA" w:rsidP="004F2FA7">
            <w:pPr>
              <w:pStyle w:val="Default"/>
              <w:spacing w:line="300" w:lineRule="auto"/>
              <w:jc w:val="both"/>
              <w:rPr>
                <w:color w:val="auto"/>
              </w:rPr>
            </w:pPr>
            <w:r w:rsidRPr="00A978B8">
              <w:rPr>
                <w:color w:val="auto"/>
              </w:rPr>
              <w:t>Tối thiểu 1 thẻ quốc tế (thẻ ghi nợ quốc tế hoặc Thẻ tín dụng quốc tế) của 1 thành viên trong nhóm gia đình ở trạng thái hoạt động</w:t>
            </w:r>
          </w:p>
        </w:tc>
      </w:tr>
      <w:tr w:rsidR="00A978B8" w:rsidRPr="00A978B8" w14:paraId="6566F628" w14:textId="77777777" w:rsidTr="00924B09">
        <w:tc>
          <w:tcPr>
            <w:tcW w:w="404" w:type="dxa"/>
          </w:tcPr>
          <w:p w14:paraId="0992C0C4" w14:textId="77777777" w:rsidR="000879BA" w:rsidRPr="00A978B8" w:rsidRDefault="000879BA" w:rsidP="004F2FA7">
            <w:pPr>
              <w:pStyle w:val="Default"/>
              <w:spacing w:line="300" w:lineRule="auto"/>
              <w:jc w:val="both"/>
              <w:rPr>
                <w:b/>
                <w:color w:val="auto"/>
              </w:rPr>
            </w:pPr>
            <w:r w:rsidRPr="00A978B8">
              <w:rPr>
                <w:b/>
                <w:color w:val="auto"/>
              </w:rPr>
              <w:t>II</w:t>
            </w:r>
          </w:p>
        </w:tc>
        <w:tc>
          <w:tcPr>
            <w:tcW w:w="4726" w:type="dxa"/>
          </w:tcPr>
          <w:p w14:paraId="54FFE447" w14:textId="700BF2A6" w:rsidR="000879BA" w:rsidRPr="00A978B8" w:rsidRDefault="000879BA" w:rsidP="004F2FA7">
            <w:pPr>
              <w:pStyle w:val="Default"/>
              <w:spacing w:line="300" w:lineRule="auto"/>
              <w:jc w:val="both"/>
              <w:rPr>
                <w:b/>
                <w:color w:val="auto"/>
              </w:rPr>
            </w:pPr>
            <w:r w:rsidRPr="00A978B8">
              <w:rPr>
                <w:b/>
                <w:color w:val="auto"/>
              </w:rPr>
              <w:t xml:space="preserve">Ưu đãi dành cho các thành viên trong nhóm </w:t>
            </w:r>
          </w:p>
        </w:tc>
        <w:tc>
          <w:tcPr>
            <w:tcW w:w="4500" w:type="dxa"/>
          </w:tcPr>
          <w:p w14:paraId="3481F9A0" w14:textId="13132B37" w:rsidR="000879BA" w:rsidRPr="00A978B8" w:rsidRDefault="000879BA" w:rsidP="004F2FA7">
            <w:pPr>
              <w:pStyle w:val="Default"/>
              <w:spacing w:line="300" w:lineRule="auto"/>
              <w:jc w:val="center"/>
              <w:rPr>
                <w:b/>
                <w:color w:val="auto"/>
              </w:rPr>
            </w:pPr>
            <w:r w:rsidRPr="00A978B8">
              <w:rPr>
                <w:b/>
                <w:color w:val="auto"/>
              </w:rPr>
              <w:t>Gói V-Family</w:t>
            </w:r>
          </w:p>
        </w:tc>
        <w:tc>
          <w:tcPr>
            <w:tcW w:w="4590" w:type="dxa"/>
          </w:tcPr>
          <w:p w14:paraId="79524D28" w14:textId="77777777" w:rsidR="000879BA" w:rsidRPr="00A978B8" w:rsidRDefault="000879BA" w:rsidP="004F2FA7">
            <w:pPr>
              <w:pStyle w:val="Default"/>
              <w:spacing w:line="300" w:lineRule="auto"/>
              <w:jc w:val="center"/>
              <w:rPr>
                <w:i/>
                <w:color w:val="auto"/>
              </w:rPr>
            </w:pPr>
            <w:r w:rsidRPr="00A978B8">
              <w:rPr>
                <w:b/>
                <w:color w:val="auto"/>
              </w:rPr>
              <w:t>Gói V-Family Plus</w:t>
            </w:r>
          </w:p>
        </w:tc>
      </w:tr>
      <w:tr w:rsidR="00A978B8" w:rsidRPr="00A978B8" w14:paraId="3D0224F4" w14:textId="77777777" w:rsidTr="00924B09">
        <w:trPr>
          <w:trHeight w:val="440"/>
        </w:trPr>
        <w:tc>
          <w:tcPr>
            <w:tcW w:w="404" w:type="dxa"/>
            <w:vMerge w:val="restart"/>
          </w:tcPr>
          <w:p w14:paraId="39FE5BD6" w14:textId="77777777" w:rsidR="000879BA" w:rsidRPr="00A978B8" w:rsidRDefault="000879BA" w:rsidP="004F2FA7">
            <w:pPr>
              <w:pStyle w:val="Default"/>
              <w:spacing w:line="300" w:lineRule="auto"/>
              <w:jc w:val="center"/>
              <w:rPr>
                <w:color w:val="auto"/>
              </w:rPr>
            </w:pPr>
            <w:r w:rsidRPr="00A978B8">
              <w:rPr>
                <w:color w:val="auto"/>
              </w:rPr>
              <w:t>1</w:t>
            </w:r>
          </w:p>
        </w:tc>
        <w:tc>
          <w:tcPr>
            <w:tcW w:w="4726" w:type="dxa"/>
            <w:vMerge w:val="restart"/>
          </w:tcPr>
          <w:p w14:paraId="6E15EB85" w14:textId="77777777" w:rsidR="000879BA" w:rsidRPr="00A978B8" w:rsidRDefault="000879BA" w:rsidP="004F2FA7">
            <w:pPr>
              <w:spacing w:line="300" w:lineRule="auto"/>
              <w:jc w:val="both"/>
            </w:pPr>
            <w:r w:rsidRPr="00A978B8">
              <w:t>Tiền gửi tiết kiệm, Tiền gửi có kỳ hạn thông thường tại quầy, kỳ hạn từ 1 tháng trở lên (Mã sản phẩm 2220, 2523, 2623, 2230, 2633, 2533, 2223, 2233)</w:t>
            </w:r>
          </w:p>
          <w:p w14:paraId="59F931CB" w14:textId="77777777" w:rsidR="000879BA" w:rsidRPr="00A978B8" w:rsidRDefault="000879BA" w:rsidP="004F2FA7">
            <w:pPr>
              <w:spacing w:line="300" w:lineRule="auto"/>
              <w:jc w:val="both"/>
            </w:pPr>
            <w:r w:rsidRPr="00A978B8">
              <w:t xml:space="preserve"> </w:t>
            </w:r>
          </w:p>
          <w:p w14:paraId="47F828EA" w14:textId="77777777" w:rsidR="000879BA" w:rsidRPr="00A978B8" w:rsidRDefault="000879BA" w:rsidP="004F2FA7">
            <w:pPr>
              <w:spacing w:line="300" w:lineRule="auto"/>
              <w:jc w:val="both"/>
            </w:pPr>
          </w:p>
        </w:tc>
        <w:tc>
          <w:tcPr>
            <w:tcW w:w="4500" w:type="dxa"/>
          </w:tcPr>
          <w:p w14:paraId="16466FA1" w14:textId="77777777" w:rsidR="000879BA" w:rsidRPr="00A978B8" w:rsidRDefault="000879BA" w:rsidP="004F2FA7">
            <w:pPr>
              <w:pStyle w:val="Default"/>
              <w:spacing w:line="300" w:lineRule="auto"/>
              <w:jc w:val="center"/>
              <w:rPr>
                <w:b/>
                <w:color w:val="auto"/>
              </w:rPr>
            </w:pPr>
            <w:r w:rsidRPr="00A978B8">
              <w:rPr>
                <w:b/>
                <w:color w:val="auto"/>
              </w:rPr>
              <w:t xml:space="preserve">+ tối đa 0.2%/năm </w:t>
            </w:r>
          </w:p>
        </w:tc>
        <w:tc>
          <w:tcPr>
            <w:tcW w:w="4590" w:type="dxa"/>
          </w:tcPr>
          <w:p w14:paraId="27352611" w14:textId="77777777" w:rsidR="000879BA" w:rsidRPr="00A978B8" w:rsidRDefault="000879BA" w:rsidP="004F2FA7">
            <w:pPr>
              <w:pStyle w:val="Default"/>
              <w:spacing w:line="300" w:lineRule="auto"/>
              <w:jc w:val="center"/>
              <w:rPr>
                <w:b/>
                <w:color w:val="auto"/>
              </w:rPr>
            </w:pPr>
            <w:r w:rsidRPr="00A978B8">
              <w:rPr>
                <w:b/>
                <w:color w:val="auto"/>
              </w:rPr>
              <w:t xml:space="preserve">+ tối đa 0.3%/năm </w:t>
            </w:r>
          </w:p>
        </w:tc>
      </w:tr>
      <w:tr w:rsidR="00A978B8" w:rsidRPr="00A978B8" w14:paraId="7E167D97" w14:textId="77777777" w:rsidTr="002C170E">
        <w:tc>
          <w:tcPr>
            <w:tcW w:w="404" w:type="dxa"/>
            <w:vMerge/>
          </w:tcPr>
          <w:p w14:paraId="1650891F" w14:textId="77777777" w:rsidR="000879BA" w:rsidRPr="00A978B8" w:rsidRDefault="000879BA" w:rsidP="004F2FA7">
            <w:pPr>
              <w:pStyle w:val="Default"/>
              <w:spacing w:line="300" w:lineRule="auto"/>
              <w:jc w:val="both"/>
              <w:rPr>
                <w:b/>
                <w:color w:val="auto"/>
              </w:rPr>
            </w:pPr>
          </w:p>
        </w:tc>
        <w:tc>
          <w:tcPr>
            <w:tcW w:w="4726" w:type="dxa"/>
            <w:vMerge/>
          </w:tcPr>
          <w:p w14:paraId="2AA933FE" w14:textId="77777777" w:rsidR="000879BA" w:rsidRPr="00A978B8" w:rsidRDefault="000879BA" w:rsidP="004F2FA7">
            <w:pPr>
              <w:pStyle w:val="Default"/>
              <w:spacing w:line="300" w:lineRule="auto"/>
              <w:jc w:val="both"/>
              <w:rPr>
                <w:color w:val="auto"/>
              </w:rPr>
            </w:pPr>
          </w:p>
        </w:tc>
        <w:tc>
          <w:tcPr>
            <w:tcW w:w="9090" w:type="dxa"/>
            <w:gridSpan w:val="2"/>
          </w:tcPr>
          <w:p w14:paraId="4B0CCED0" w14:textId="3F77C7EB" w:rsidR="002C170E" w:rsidRPr="00A978B8" w:rsidRDefault="000879BA" w:rsidP="004F2FA7">
            <w:pPr>
              <w:pStyle w:val="Default"/>
              <w:numPr>
                <w:ilvl w:val="0"/>
                <w:numId w:val="4"/>
              </w:numPr>
              <w:spacing w:line="300" w:lineRule="auto"/>
              <w:ind w:left="346" w:hanging="274"/>
              <w:jc w:val="both"/>
              <w:rPr>
                <w:color w:val="auto"/>
              </w:rPr>
            </w:pPr>
            <w:r w:rsidRPr="00A978B8">
              <w:rPr>
                <w:color w:val="auto"/>
              </w:rPr>
              <w:t>Áp dụng cho các khoản tiền gửi mới/tái đáo hạn của các thành viên trong nhóm gia đình có số dư từ 10 triệu đồng trở lên</w:t>
            </w:r>
          </w:p>
          <w:p w14:paraId="004548CD" w14:textId="77777777" w:rsidR="000879BA" w:rsidRPr="00A978B8" w:rsidRDefault="000879BA" w:rsidP="004F2FA7">
            <w:pPr>
              <w:pStyle w:val="Default"/>
              <w:numPr>
                <w:ilvl w:val="0"/>
                <w:numId w:val="4"/>
              </w:numPr>
              <w:spacing w:line="300" w:lineRule="auto"/>
              <w:ind w:left="346" w:hanging="274"/>
              <w:jc w:val="both"/>
              <w:rPr>
                <w:color w:val="auto"/>
              </w:rPr>
            </w:pPr>
            <w:r w:rsidRPr="00A978B8">
              <w:rPr>
                <w:color w:val="auto"/>
              </w:rPr>
              <w:t>Mức lãi suất áp dụng trên sổ tiết kiệm của khách hàng (sau cộng lãi suất) đảm bảo không vượt trần lãi suất của VietinBank và NHNN trong từng thời kỳ.</w:t>
            </w:r>
          </w:p>
          <w:p w14:paraId="7D068483" w14:textId="77777777" w:rsidR="000879BA" w:rsidRPr="00A978B8" w:rsidRDefault="000879BA" w:rsidP="004F2FA7">
            <w:pPr>
              <w:pStyle w:val="Default"/>
              <w:numPr>
                <w:ilvl w:val="0"/>
                <w:numId w:val="4"/>
              </w:numPr>
              <w:spacing w:line="300" w:lineRule="auto"/>
              <w:ind w:left="346" w:hanging="274"/>
              <w:jc w:val="both"/>
              <w:rPr>
                <w:color w:val="auto"/>
              </w:rPr>
            </w:pPr>
            <w:r w:rsidRPr="00A978B8">
              <w:rPr>
                <w:color w:val="auto"/>
              </w:rPr>
              <w:lastRenderedPageBreak/>
              <w:t>Thời hạn áp dụng lãi suất huy động (LSHĐ): Cho 01 kỳ huy động. Các kỳ tái đáo hạn sau đó, mức LSHĐ áp dụng theo quy định của VietinBank trong từng thời kỳ.</w:t>
            </w:r>
          </w:p>
        </w:tc>
      </w:tr>
      <w:tr w:rsidR="00A978B8" w:rsidRPr="00A978B8" w14:paraId="63F9B859" w14:textId="77777777" w:rsidTr="002C170E">
        <w:tc>
          <w:tcPr>
            <w:tcW w:w="404" w:type="dxa"/>
          </w:tcPr>
          <w:p w14:paraId="3FDCF694" w14:textId="77777777" w:rsidR="000879BA" w:rsidRPr="00A978B8" w:rsidRDefault="000879BA" w:rsidP="004F2FA7">
            <w:pPr>
              <w:pStyle w:val="Default"/>
              <w:spacing w:line="300" w:lineRule="auto"/>
              <w:jc w:val="center"/>
              <w:rPr>
                <w:color w:val="auto"/>
              </w:rPr>
            </w:pPr>
            <w:r w:rsidRPr="00A978B8">
              <w:rPr>
                <w:color w:val="auto"/>
              </w:rPr>
              <w:lastRenderedPageBreak/>
              <w:t>2</w:t>
            </w:r>
          </w:p>
        </w:tc>
        <w:tc>
          <w:tcPr>
            <w:tcW w:w="4726" w:type="dxa"/>
          </w:tcPr>
          <w:p w14:paraId="1AEC54D3" w14:textId="77777777" w:rsidR="000879BA" w:rsidRPr="00A978B8" w:rsidRDefault="000879BA" w:rsidP="004F2FA7">
            <w:pPr>
              <w:spacing w:line="300" w:lineRule="auto"/>
              <w:jc w:val="both"/>
            </w:pPr>
            <w:r w:rsidRPr="00A978B8">
              <w:t>Tiền gửi tiết kiệm thông thường trả lãi sau kênh VietinBank iPay Mobile, kỳ hạn từ 1 tháng trở lên (Mã sản phẩm 2411)</w:t>
            </w:r>
          </w:p>
        </w:tc>
        <w:tc>
          <w:tcPr>
            <w:tcW w:w="9090" w:type="dxa"/>
            <w:gridSpan w:val="2"/>
          </w:tcPr>
          <w:p w14:paraId="777ED9F2" w14:textId="77777777" w:rsidR="000879BA" w:rsidRPr="00A978B8" w:rsidRDefault="000879BA" w:rsidP="004F2FA7">
            <w:pPr>
              <w:pStyle w:val="Default"/>
              <w:numPr>
                <w:ilvl w:val="0"/>
                <w:numId w:val="4"/>
              </w:numPr>
              <w:spacing w:line="300" w:lineRule="auto"/>
              <w:ind w:left="346" w:hanging="270"/>
              <w:jc w:val="both"/>
              <w:rPr>
                <w:b/>
                <w:color w:val="auto"/>
              </w:rPr>
            </w:pPr>
            <w:r w:rsidRPr="00A978B8">
              <w:rPr>
                <w:b/>
                <w:color w:val="auto"/>
              </w:rPr>
              <w:t>Đối tượng áp dụng: KHUT và KHUT trải nghiệm thuộc gói V-Family/V-Family Plus</w:t>
            </w:r>
          </w:p>
          <w:p w14:paraId="587C1B10" w14:textId="77777777" w:rsidR="000879BA" w:rsidRPr="00A978B8" w:rsidRDefault="000879BA" w:rsidP="004F2FA7">
            <w:pPr>
              <w:pStyle w:val="Default"/>
              <w:numPr>
                <w:ilvl w:val="0"/>
                <w:numId w:val="4"/>
              </w:numPr>
              <w:spacing w:line="300" w:lineRule="auto"/>
              <w:ind w:left="346" w:hanging="270"/>
              <w:jc w:val="both"/>
              <w:rPr>
                <w:color w:val="auto"/>
              </w:rPr>
            </w:pPr>
            <w:r w:rsidRPr="00A978B8">
              <w:rPr>
                <w:color w:val="auto"/>
              </w:rPr>
              <w:t>Áp dụng chính sách cho KH tham gia gói V-Family/V-Family Plus tương tự sản phẩm tiền gửi tiết kiệm kênh quầy (mục 1 nêu trên).</w:t>
            </w:r>
          </w:p>
          <w:p w14:paraId="2C272249" w14:textId="77777777" w:rsidR="000879BA" w:rsidRPr="00A978B8" w:rsidRDefault="000879BA" w:rsidP="004F2FA7">
            <w:pPr>
              <w:pStyle w:val="Default"/>
              <w:numPr>
                <w:ilvl w:val="0"/>
                <w:numId w:val="4"/>
              </w:numPr>
              <w:spacing w:line="300" w:lineRule="auto"/>
              <w:ind w:left="346" w:hanging="270"/>
              <w:jc w:val="both"/>
              <w:rPr>
                <w:b/>
                <w:color w:val="auto"/>
              </w:rPr>
            </w:pPr>
            <w:r w:rsidRPr="00A978B8">
              <w:rPr>
                <w:color w:val="auto"/>
              </w:rPr>
              <w:t>Trên cơ sở số dư tiền gửi tiết kiệm nhóm gia đình, VietinBank thực hiện cấp voucher cộng lãi suất cho khách hàng.</w:t>
            </w:r>
          </w:p>
          <w:p w14:paraId="745B0C74" w14:textId="77777777" w:rsidR="000879BA" w:rsidRPr="00A978B8" w:rsidRDefault="000879BA" w:rsidP="004F2FA7">
            <w:pPr>
              <w:pStyle w:val="Default"/>
              <w:numPr>
                <w:ilvl w:val="0"/>
                <w:numId w:val="4"/>
              </w:numPr>
              <w:spacing w:line="300" w:lineRule="auto"/>
              <w:ind w:left="346" w:hanging="270"/>
              <w:jc w:val="both"/>
              <w:rPr>
                <w:b/>
                <w:color w:val="auto"/>
              </w:rPr>
            </w:pPr>
            <w:r w:rsidRPr="00A978B8">
              <w:rPr>
                <w:b/>
                <w:color w:val="auto"/>
              </w:rPr>
              <w:t xml:space="preserve">Thời hạn sử dụng voucher cộng lãi suất: tối đa 1 ngày kể từ ngày hiệu lực cấp voucher. </w:t>
            </w:r>
            <w:r w:rsidRPr="00A978B8">
              <w:rPr>
                <w:color w:val="auto"/>
              </w:rPr>
              <w:t xml:space="preserve">Lưu ý: Khách hàng gửi tiết kiệm sử dụng mã voucher ngay sau khi được cấp </w:t>
            </w:r>
            <w:r w:rsidRPr="00A978B8">
              <w:rPr>
                <w:color w:val="auto"/>
                <w:lang w:val="vi-VN"/>
              </w:rPr>
              <w:t xml:space="preserve">voucher </w:t>
            </w:r>
            <w:r w:rsidRPr="00A978B8">
              <w:rPr>
                <w:color w:val="auto"/>
              </w:rPr>
              <w:t>để tránh hết hạn sử dụng voucher. Mỗi mã voucher là duy nhất được sử dụng trên toàn hệ thống.</w:t>
            </w:r>
          </w:p>
        </w:tc>
      </w:tr>
      <w:tr w:rsidR="00A978B8" w:rsidRPr="00A978B8" w14:paraId="79E6A7DE" w14:textId="77777777" w:rsidTr="002C170E">
        <w:tc>
          <w:tcPr>
            <w:tcW w:w="404" w:type="dxa"/>
          </w:tcPr>
          <w:p w14:paraId="7E22120F" w14:textId="77777777" w:rsidR="000879BA" w:rsidRPr="00A978B8" w:rsidRDefault="000879BA" w:rsidP="004F2FA7">
            <w:pPr>
              <w:pStyle w:val="Default"/>
              <w:spacing w:line="300" w:lineRule="auto"/>
              <w:jc w:val="center"/>
              <w:rPr>
                <w:color w:val="auto"/>
              </w:rPr>
            </w:pPr>
            <w:r w:rsidRPr="00A978B8">
              <w:rPr>
                <w:color w:val="auto"/>
              </w:rPr>
              <w:t>3</w:t>
            </w:r>
          </w:p>
        </w:tc>
        <w:tc>
          <w:tcPr>
            <w:tcW w:w="4726" w:type="dxa"/>
          </w:tcPr>
          <w:p w14:paraId="7C1BC095" w14:textId="77777777" w:rsidR="000879BA" w:rsidRPr="00A978B8" w:rsidRDefault="000879BA" w:rsidP="004F2FA7">
            <w:pPr>
              <w:spacing w:line="300" w:lineRule="auto"/>
              <w:jc w:val="both"/>
            </w:pPr>
            <w:r w:rsidRPr="00A978B8">
              <w:t>Tiết kiệm tích lũy tại quầy (mã SP 2807)</w:t>
            </w:r>
          </w:p>
        </w:tc>
        <w:tc>
          <w:tcPr>
            <w:tcW w:w="9090" w:type="dxa"/>
            <w:gridSpan w:val="2"/>
          </w:tcPr>
          <w:p w14:paraId="4FB80D23" w14:textId="77777777" w:rsidR="000879BA" w:rsidRPr="00A978B8" w:rsidRDefault="000879BA" w:rsidP="004F2FA7">
            <w:pPr>
              <w:pStyle w:val="Default"/>
              <w:spacing w:line="300" w:lineRule="auto"/>
              <w:ind w:left="720"/>
              <w:jc w:val="center"/>
              <w:rPr>
                <w:color w:val="auto"/>
              </w:rPr>
            </w:pPr>
            <w:r w:rsidRPr="00A978B8">
              <w:rPr>
                <w:color w:val="auto"/>
              </w:rPr>
              <w:t xml:space="preserve">+ </w:t>
            </w:r>
            <w:r w:rsidRPr="00A978B8">
              <w:rPr>
                <w:b/>
                <w:color w:val="auto"/>
              </w:rPr>
              <w:t>0.2%/năm</w:t>
            </w:r>
            <w:r w:rsidRPr="00A978B8">
              <w:rPr>
                <w:color w:val="auto"/>
              </w:rPr>
              <w:t xml:space="preserve"> so với lãi suất niêm yết</w:t>
            </w:r>
          </w:p>
          <w:p w14:paraId="62DCDF0A" w14:textId="77777777" w:rsidR="000879BA" w:rsidRPr="00A978B8" w:rsidRDefault="000879BA" w:rsidP="004F2FA7">
            <w:pPr>
              <w:pStyle w:val="Default"/>
              <w:numPr>
                <w:ilvl w:val="0"/>
                <w:numId w:val="4"/>
              </w:numPr>
              <w:spacing w:line="300" w:lineRule="auto"/>
              <w:ind w:left="346" w:hanging="270"/>
              <w:jc w:val="both"/>
              <w:rPr>
                <w:color w:val="auto"/>
              </w:rPr>
            </w:pPr>
            <w:r w:rsidRPr="00A978B8">
              <w:rPr>
                <w:color w:val="auto"/>
              </w:rPr>
              <w:t>Áp dụng cho các khoản tiền gửi phát sinh mới của các thành viên trong nhóm gia đình.</w:t>
            </w:r>
          </w:p>
          <w:p w14:paraId="4E656EFB" w14:textId="77777777" w:rsidR="000879BA" w:rsidRPr="00A978B8" w:rsidRDefault="000879BA" w:rsidP="004F2FA7">
            <w:pPr>
              <w:pStyle w:val="Default"/>
              <w:numPr>
                <w:ilvl w:val="0"/>
                <w:numId w:val="4"/>
              </w:numPr>
              <w:spacing w:line="300" w:lineRule="auto"/>
              <w:ind w:left="346" w:hanging="270"/>
              <w:jc w:val="both"/>
              <w:rPr>
                <w:color w:val="auto"/>
              </w:rPr>
            </w:pPr>
            <w:r w:rsidRPr="00A978B8">
              <w:rPr>
                <w:color w:val="auto"/>
              </w:rPr>
              <w:t>Đảm bảo mức lãi suất áp dụng không vượt trần lãi suất của NHNN đối với các kỳ hạn dưới 6 tháng.</w:t>
            </w:r>
          </w:p>
          <w:p w14:paraId="245F5FB0" w14:textId="77777777" w:rsidR="000879BA" w:rsidRPr="00A978B8" w:rsidRDefault="000879BA" w:rsidP="004F2FA7">
            <w:pPr>
              <w:pStyle w:val="Default"/>
              <w:numPr>
                <w:ilvl w:val="0"/>
                <w:numId w:val="4"/>
              </w:numPr>
              <w:spacing w:line="300" w:lineRule="auto"/>
              <w:ind w:left="346" w:hanging="270"/>
              <w:jc w:val="both"/>
              <w:rPr>
                <w:color w:val="auto"/>
              </w:rPr>
            </w:pPr>
            <w:r w:rsidRPr="00A978B8">
              <w:rPr>
                <w:color w:val="auto"/>
              </w:rPr>
              <w:t xml:space="preserve">Mức cộng lãi suất áp dụng cho 1 kỳ hạn gửi. Lãi suất tiết kiệm tích lũy sẽ được điều chỉnh thay đổi theo ngày, theo đó, trường hợp VietinBank có thay đổi lãi suất liên quan, lãi suất của tài khoản tiền gửi tiết kiệm tích lũy sẽ tự động cập nhật thay đổi theo. </w:t>
            </w:r>
          </w:p>
        </w:tc>
      </w:tr>
      <w:tr w:rsidR="00A978B8" w:rsidRPr="00A978B8" w14:paraId="73B067BC" w14:textId="77777777" w:rsidTr="002C170E">
        <w:tc>
          <w:tcPr>
            <w:tcW w:w="404" w:type="dxa"/>
          </w:tcPr>
          <w:p w14:paraId="20C2F40D" w14:textId="77777777" w:rsidR="000879BA" w:rsidRPr="00A978B8" w:rsidRDefault="000879BA" w:rsidP="004F2FA7">
            <w:pPr>
              <w:pStyle w:val="Default"/>
              <w:spacing w:line="300" w:lineRule="auto"/>
              <w:jc w:val="center"/>
              <w:rPr>
                <w:color w:val="auto"/>
              </w:rPr>
            </w:pPr>
            <w:r w:rsidRPr="00A978B8">
              <w:rPr>
                <w:color w:val="auto"/>
              </w:rPr>
              <w:t>4</w:t>
            </w:r>
          </w:p>
        </w:tc>
        <w:tc>
          <w:tcPr>
            <w:tcW w:w="4726" w:type="dxa"/>
          </w:tcPr>
          <w:p w14:paraId="721948B2" w14:textId="77777777" w:rsidR="000879BA" w:rsidRPr="00A978B8" w:rsidRDefault="000879BA" w:rsidP="004F2FA7">
            <w:pPr>
              <w:spacing w:line="300" w:lineRule="auto"/>
              <w:jc w:val="both"/>
            </w:pPr>
            <w:r w:rsidRPr="00A978B8">
              <w:t>Thẻ MasterCard Eliv3</w:t>
            </w:r>
          </w:p>
        </w:tc>
        <w:tc>
          <w:tcPr>
            <w:tcW w:w="9090" w:type="dxa"/>
            <w:gridSpan w:val="2"/>
          </w:tcPr>
          <w:p w14:paraId="4F06DAC9" w14:textId="77777777" w:rsidR="000879BA" w:rsidRPr="00A978B8" w:rsidRDefault="000879BA" w:rsidP="004F2FA7">
            <w:pPr>
              <w:pStyle w:val="Default"/>
              <w:numPr>
                <w:ilvl w:val="0"/>
                <w:numId w:val="4"/>
              </w:numPr>
              <w:spacing w:line="300" w:lineRule="auto"/>
              <w:ind w:left="346" w:hanging="270"/>
              <w:jc w:val="both"/>
              <w:rPr>
                <w:b/>
                <w:color w:val="auto"/>
              </w:rPr>
            </w:pPr>
            <w:r w:rsidRPr="00A978B8">
              <w:rPr>
                <w:b/>
                <w:color w:val="auto"/>
              </w:rPr>
              <w:t xml:space="preserve">Miễn phí phát hành </w:t>
            </w:r>
          </w:p>
          <w:p w14:paraId="55043041" w14:textId="77777777" w:rsidR="000879BA" w:rsidRPr="00A978B8" w:rsidRDefault="000879BA" w:rsidP="004F2FA7">
            <w:pPr>
              <w:pStyle w:val="Default"/>
              <w:numPr>
                <w:ilvl w:val="0"/>
                <w:numId w:val="4"/>
              </w:numPr>
              <w:spacing w:line="300" w:lineRule="auto"/>
              <w:ind w:left="346" w:hanging="270"/>
              <w:jc w:val="both"/>
              <w:rPr>
                <w:color w:val="auto"/>
              </w:rPr>
            </w:pPr>
            <w:r w:rsidRPr="00A978B8">
              <w:rPr>
                <w:b/>
                <w:color w:val="auto"/>
              </w:rPr>
              <w:t>Miễn phí thường niên</w:t>
            </w:r>
            <w:r w:rsidRPr="00A978B8">
              <w:rPr>
                <w:color w:val="auto"/>
              </w:rPr>
              <w:t xml:space="preserve"> năm đầu thẻ ghi nợ quốc tế và thẻ tín dụng quốc tế (không yêu cầu doanh số chi tiêu)</w:t>
            </w:r>
          </w:p>
          <w:p w14:paraId="1CBC0249" w14:textId="77777777" w:rsidR="000879BA" w:rsidRPr="00A978B8" w:rsidRDefault="000879BA" w:rsidP="004F2FA7">
            <w:pPr>
              <w:pStyle w:val="Default"/>
              <w:numPr>
                <w:ilvl w:val="0"/>
                <w:numId w:val="4"/>
              </w:numPr>
              <w:spacing w:line="300" w:lineRule="auto"/>
              <w:ind w:left="346" w:hanging="270"/>
              <w:jc w:val="both"/>
              <w:rPr>
                <w:color w:val="auto"/>
              </w:rPr>
            </w:pPr>
            <w:r w:rsidRPr="00A978B8">
              <w:rPr>
                <w:b/>
                <w:color w:val="auto"/>
              </w:rPr>
              <w:t>Chính sách Card2Card và hạn mức tối đa 100%</w:t>
            </w:r>
            <w:r w:rsidRPr="00A978B8">
              <w:rPr>
                <w:color w:val="auto"/>
              </w:rPr>
              <w:t xml:space="preserve"> hạn mức thẻ ngân hàng khác đang có</w:t>
            </w:r>
          </w:p>
        </w:tc>
      </w:tr>
      <w:tr w:rsidR="00A978B8" w:rsidRPr="00A978B8" w14:paraId="62EFF7BB" w14:textId="77777777" w:rsidTr="00924B09">
        <w:trPr>
          <w:trHeight w:val="1142"/>
        </w:trPr>
        <w:tc>
          <w:tcPr>
            <w:tcW w:w="404" w:type="dxa"/>
            <w:vMerge w:val="restart"/>
          </w:tcPr>
          <w:p w14:paraId="5188807F" w14:textId="77777777" w:rsidR="000879BA" w:rsidRPr="00A978B8" w:rsidRDefault="000879BA" w:rsidP="004F2FA7">
            <w:pPr>
              <w:pStyle w:val="Default"/>
              <w:spacing w:line="300" w:lineRule="auto"/>
              <w:jc w:val="center"/>
              <w:rPr>
                <w:color w:val="auto"/>
              </w:rPr>
            </w:pPr>
            <w:r w:rsidRPr="00A978B8">
              <w:rPr>
                <w:color w:val="auto"/>
              </w:rPr>
              <w:lastRenderedPageBreak/>
              <w:t>5</w:t>
            </w:r>
          </w:p>
        </w:tc>
        <w:tc>
          <w:tcPr>
            <w:tcW w:w="4726" w:type="dxa"/>
            <w:vMerge w:val="restart"/>
          </w:tcPr>
          <w:p w14:paraId="7CB662DF" w14:textId="77777777" w:rsidR="000879BA" w:rsidRPr="00A978B8" w:rsidRDefault="000879BA" w:rsidP="004F2FA7">
            <w:pPr>
              <w:spacing w:line="300" w:lineRule="auto"/>
              <w:jc w:val="both"/>
            </w:pPr>
            <w:r w:rsidRPr="00A978B8">
              <w:t>Tài khoản thanh toán</w:t>
            </w:r>
          </w:p>
        </w:tc>
        <w:tc>
          <w:tcPr>
            <w:tcW w:w="4500" w:type="dxa"/>
          </w:tcPr>
          <w:p w14:paraId="7BFC03F0" w14:textId="77777777" w:rsidR="000879BA" w:rsidRPr="00A978B8" w:rsidRDefault="000879BA" w:rsidP="004F2FA7">
            <w:pPr>
              <w:autoSpaceDE w:val="0"/>
              <w:autoSpaceDN w:val="0"/>
              <w:spacing w:line="300" w:lineRule="auto"/>
            </w:pPr>
            <w:r w:rsidRPr="00A978B8">
              <w:rPr>
                <w:lang w:val="vi-VN"/>
              </w:rPr>
              <w:t>Tặng Alias + tài khoản số đẹp</w:t>
            </w:r>
            <w:r w:rsidRPr="00A978B8">
              <w:rPr>
                <w:b/>
                <w:bCs/>
              </w:rPr>
              <w:t> 3-4 Cchữ số định nghĩa/6-8 chữ số tự chọn lo</w:t>
            </w:r>
            <w:r w:rsidRPr="00A978B8">
              <w:rPr>
                <w:b/>
                <w:bCs/>
                <w:lang w:val="vi-VN"/>
              </w:rPr>
              <w:t>ạ</w:t>
            </w:r>
            <w:r w:rsidRPr="00A978B8">
              <w:rPr>
                <w:b/>
                <w:bCs/>
              </w:rPr>
              <w:t>i s</w:t>
            </w:r>
            <w:r w:rsidRPr="00A978B8">
              <w:rPr>
                <w:b/>
                <w:bCs/>
                <w:lang w:val="vi-VN"/>
              </w:rPr>
              <w:t>ố</w:t>
            </w:r>
            <w:r w:rsidRPr="00A978B8">
              <w:rPr>
                <w:b/>
                <w:bCs/>
              </w:rPr>
              <w:t xml:space="preserve"> ng</w:t>
            </w:r>
            <w:r w:rsidRPr="00A978B8">
              <w:rPr>
                <w:b/>
                <w:bCs/>
                <w:lang w:val="vi-VN"/>
              </w:rPr>
              <w:t>ắ</w:t>
            </w:r>
            <w:r w:rsidRPr="00A978B8">
              <w:rPr>
                <w:b/>
                <w:bCs/>
              </w:rPr>
              <w:t>n 7-8 ký t</w:t>
            </w:r>
            <w:r w:rsidRPr="00A978B8">
              <w:rPr>
                <w:b/>
                <w:bCs/>
                <w:lang w:val="vi-VN"/>
              </w:rPr>
              <w:t>ự</w:t>
            </w:r>
            <w:r w:rsidRPr="00A978B8">
              <w:rPr>
                <w:b/>
                <w:bCs/>
              </w:rPr>
              <w:t> </w:t>
            </w:r>
            <w:r w:rsidRPr="00A978B8">
              <w:rPr>
                <w:bCs/>
              </w:rPr>
              <w:t>tại quầy</w:t>
            </w:r>
          </w:p>
        </w:tc>
        <w:tc>
          <w:tcPr>
            <w:tcW w:w="4590" w:type="dxa"/>
          </w:tcPr>
          <w:p w14:paraId="0E300301" w14:textId="77777777" w:rsidR="000879BA" w:rsidRPr="00A978B8" w:rsidRDefault="000879BA" w:rsidP="004F2FA7">
            <w:pPr>
              <w:autoSpaceDE w:val="0"/>
              <w:autoSpaceDN w:val="0"/>
              <w:spacing w:line="300" w:lineRule="auto"/>
            </w:pPr>
            <w:r w:rsidRPr="00A978B8">
              <w:t>T</w:t>
            </w:r>
            <w:r w:rsidRPr="00A978B8">
              <w:rPr>
                <w:lang w:val="vi-VN"/>
              </w:rPr>
              <w:t>ặng Alias + tài khoản số đẹp</w:t>
            </w:r>
            <w:r w:rsidRPr="00A978B8">
              <w:rPr>
                <w:b/>
                <w:bCs/>
              </w:rPr>
              <w:t>  3-6 chữ số định nghĩa/6-8 chữ số tự chọn lo</w:t>
            </w:r>
            <w:r w:rsidRPr="00A978B8">
              <w:rPr>
                <w:b/>
                <w:bCs/>
                <w:lang w:val="vi-VN"/>
              </w:rPr>
              <w:t>ại số ngắn loại 7-8 k</w:t>
            </w:r>
            <w:r w:rsidRPr="00A978B8">
              <w:rPr>
                <w:b/>
                <w:bCs/>
              </w:rPr>
              <w:t>ý t</w:t>
            </w:r>
            <w:r w:rsidRPr="00A978B8">
              <w:rPr>
                <w:b/>
                <w:bCs/>
                <w:lang w:val="vi-VN"/>
              </w:rPr>
              <w:t>ự </w:t>
            </w:r>
            <w:r w:rsidRPr="00A978B8">
              <w:t> tại quầy</w:t>
            </w:r>
          </w:p>
        </w:tc>
      </w:tr>
      <w:tr w:rsidR="00A978B8" w:rsidRPr="00A978B8" w14:paraId="004BD52D" w14:textId="77777777" w:rsidTr="002C170E">
        <w:trPr>
          <w:trHeight w:val="368"/>
        </w:trPr>
        <w:tc>
          <w:tcPr>
            <w:tcW w:w="404" w:type="dxa"/>
            <w:vMerge/>
          </w:tcPr>
          <w:p w14:paraId="2AFFADE2" w14:textId="77777777" w:rsidR="000879BA" w:rsidRPr="00A978B8" w:rsidRDefault="000879BA" w:rsidP="004F2FA7">
            <w:pPr>
              <w:pStyle w:val="Default"/>
              <w:spacing w:line="300" w:lineRule="auto"/>
              <w:jc w:val="center"/>
              <w:rPr>
                <w:color w:val="auto"/>
              </w:rPr>
            </w:pPr>
          </w:p>
        </w:tc>
        <w:tc>
          <w:tcPr>
            <w:tcW w:w="4726" w:type="dxa"/>
            <w:vMerge/>
          </w:tcPr>
          <w:p w14:paraId="2DBE6EA0" w14:textId="77777777" w:rsidR="000879BA" w:rsidRPr="00A978B8" w:rsidRDefault="000879BA" w:rsidP="004F2FA7">
            <w:pPr>
              <w:pStyle w:val="Default"/>
              <w:spacing w:line="300" w:lineRule="auto"/>
              <w:jc w:val="both"/>
              <w:rPr>
                <w:color w:val="auto"/>
              </w:rPr>
            </w:pPr>
          </w:p>
        </w:tc>
        <w:tc>
          <w:tcPr>
            <w:tcW w:w="9090" w:type="dxa"/>
            <w:gridSpan w:val="2"/>
          </w:tcPr>
          <w:p w14:paraId="7DA6BA73" w14:textId="77777777" w:rsidR="000879BA" w:rsidRPr="00A978B8" w:rsidRDefault="000879BA" w:rsidP="004F2FA7">
            <w:pPr>
              <w:autoSpaceDE w:val="0"/>
              <w:autoSpaceDN w:val="0"/>
              <w:spacing w:line="300" w:lineRule="auto"/>
              <w:jc w:val="both"/>
            </w:pPr>
            <w:r w:rsidRPr="00A978B8">
              <w:rPr>
                <w:lang w:val="vi-VN"/>
              </w:rPr>
              <w:t>01Alias</w:t>
            </w:r>
            <w:r w:rsidRPr="00A978B8">
              <w:t xml:space="preserve"> &amp; </w:t>
            </w:r>
            <w:r w:rsidRPr="00A978B8">
              <w:rPr>
                <w:lang w:val="vi-VN"/>
              </w:rPr>
              <w:t>01 Tài khoản số đẹp</w:t>
            </w:r>
            <w:r w:rsidRPr="00A978B8">
              <w:t xml:space="preserve"> (TKSĐ)</w:t>
            </w:r>
            <w:r w:rsidRPr="00A978B8">
              <w:rPr>
                <w:lang w:val="vi-VN"/>
              </w:rPr>
              <w:t>/mỗi thành viên trong nhóm gia đ</w:t>
            </w:r>
            <w:r w:rsidRPr="00A978B8">
              <w:t xml:space="preserve">ình. Lưu ý: Mỗi KH chỉ áp dụng miễn phí tài khoản số đẹp/alias đầu tiên trong thời gian triển khai gói sản phẩm tài chính gia đình </w:t>
            </w:r>
            <w:r w:rsidRPr="00A978B8">
              <w:rPr>
                <w:i/>
              </w:rPr>
              <w:t>(Trường hợp KH đã được áp dụng 1 lần miễn phí tài khoản số đẹp/Alias được áp dụng trong gói V-Family, khách hàng sẽ không áp dụng miễn phí tài khoản số đẹp/Alias trong gói V-Family Plus, tương tự với trường hợp ngược lại).</w:t>
            </w:r>
            <w:r w:rsidRPr="00A978B8">
              <w:rPr>
                <w:rFonts w:eastAsiaTheme="minorEastAsia"/>
              </w:rPr>
              <w:t xml:space="preserve"> </w:t>
            </w:r>
          </w:p>
        </w:tc>
      </w:tr>
      <w:tr w:rsidR="00A978B8" w:rsidRPr="00A978B8" w14:paraId="06661F58" w14:textId="77777777" w:rsidTr="00924B09">
        <w:trPr>
          <w:trHeight w:val="1052"/>
        </w:trPr>
        <w:tc>
          <w:tcPr>
            <w:tcW w:w="404" w:type="dxa"/>
          </w:tcPr>
          <w:p w14:paraId="783DDB83" w14:textId="77777777" w:rsidR="000879BA" w:rsidRPr="00A978B8" w:rsidRDefault="000879BA" w:rsidP="004F2FA7">
            <w:pPr>
              <w:pStyle w:val="Default"/>
              <w:spacing w:line="300" w:lineRule="auto"/>
              <w:jc w:val="center"/>
              <w:rPr>
                <w:color w:val="auto"/>
              </w:rPr>
            </w:pPr>
            <w:r w:rsidRPr="00A978B8">
              <w:rPr>
                <w:color w:val="auto"/>
              </w:rPr>
              <w:t>6</w:t>
            </w:r>
          </w:p>
        </w:tc>
        <w:tc>
          <w:tcPr>
            <w:tcW w:w="4726" w:type="dxa"/>
          </w:tcPr>
          <w:p w14:paraId="781B2B52" w14:textId="77777777" w:rsidR="000879BA" w:rsidRPr="00A978B8" w:rsidRDefault="000879BA" w:rsidP="004F2FA7">
            <w:pPr>
              <w:pStyle w:val="Default"/>
              <w:spacing w:line="300" w:lineRule="auto"/>
              <w:jc w:val="both"/>
              <w:rPr>
                <w:color w:val="auto"/>
              </w:rPr>
            </w:pPr>
            <w:r w:rsidRPr="00A978B8">
              <w:rPr>
                <w:color w:val="auto"/>
              </w:rPr>
              <w:t>Tiền vay:</w:t>
            </w:r>
          </w:p>
          <w:p w14:paraId="4559E53F" w14:textId="77777777" w:rsidR="000879BA" w:rsidRPr="00A978B8" w:rsidRDefault="000879BA" w:rsidP="004F2FA7">
            <w:pPr>
              <w:pStyle w:val="Default"/>
              <w:spacing w:line="300" w:lineRule="auto"/>
              <w:jc w:val="both"/>
              <w:rPr>
                <w:color w:val="auto"/>
                <w:lang w:val="vi-VN"/>
              </w:rPr>
            </w:pPr>
            <w:r w:rsidRPr="00A978B8">
              <w:rPr>
                <w:color w:val="auto"/>
              </w:rPr>
              <w:t xml:space="preserve">- </w:t>
            </w:r>
            <w:r w:rsidRPr="00A978B8">
              <w:rPr>
                <w:color w:val="auto"/>
                <w:lang w:val="vi-VN"/>
              </w:rPr>
              <w:t>Sản phẩm cho vay nhận quyền sử dụng đất, mua, xây dựng, sửa chữa nhà ở và/hoặc công trình trên đất</w:t>
            </w:r>
          </w:p>
          <w:p w14:paraId="24BC707D" w14:textId="77777777" w:rsidR="000879BA" w:rsidRPr="00A978B8" w:rsidRDefault="000879BA" w:rsidP="004F2FA7">
            <w:pPr>
              <w:pStyle w:val="Default"/>
              <w:spacing w:line="300" w:lineRule="auto"/>
              <w:jc w:val="both"/>
              <w:rPr>
                <w:color w:val="auto"/>
              </w:rPr>
            </w:pPr>
            <w:r w:rsidRPr="00A978B8">
              <w:rPr>
                <w:color w:val="auto"/>
              </w:rPr>
              <w:t xml:space="preserve">- </w:t>
            </w:r>
            <w:r w:rsidRPr="00A978B8">
              <w:rPr>
                <w:color w:val="auto"/>
                <w:lang w:val="vi-VN"/>
              </w:rPr>
              <w:t>Sản phẩm cho vay mua, sửa chữa bất động sản thuộc dự án bất động sản thương mại</w:t>
            </w:r>
          </w:p>
          <w:p w14:paraId="6C3433A3" w14:textId="77777777" w:rsidR="000879BA" w:rsidRPr="00A978B8" w:rsidRDefault="000879BA" w:rsidP="004F2FA7">
            <w:pPr>
              <w:spacing w:line="300" w:lineRule="auto"/>
              <w:jc w:val="both"/>
              <w:rPr>
                <w:lang w:val="vi-VN"/>
              </w:rPr>
            </w:pPr>
            <w:r w:rsidRPr="00A978B8">
              <w:t xml:space="preserve">- </w:t>
            </w:r>
            <w:r w:rsidRPr="00A978B8">
              <w:rPr>
                <w:lang w:val="vi-VN"/>
              </w:rPr>
              <w:t>Sản phẩm cho vay mua ô tô đối với KHBL</w:t>
            </w:r>
          </w:p>
          <w:p w14:paraId="29ADF851" w14:textId="77777777" w:rsidR="000879BA" w:rsidRPr="00A978B8" w:rsidRDefault="000879BA" w:rsidP="004F2FA7">
            <w:pPr>
              <w:spacing w:line="300" w:lineRule="auto"/>
              <w:jc w:val="both"/>
              <w:rPr>
                <w:lang w:val="vi-VN"/>
              </w:rPr>
            </w:pPr>
            <w:r w:rsidRPr="00A978B8">
              <w:t xml:space="preserve">- </w:t>
            </w:r>
            <w:r w:rsidRPr="00A978B8">
              <w:rPr>
                <w:lang w:val="vi-VN"/>
              </w:rPr>
              <w:t>Gói Sản phẩm cho vay du học</w:t>
            </w:r>
          </w:p>
          <w:p w14:paraId="121BF7E5" w14:textId="77777777" w:rsidR="000879BA" w:rsidRPr="00A978B8" w:rsidRDefault="000879BA" w:rsidP="004F2FA7">
            <w:pPr>
              <w:pStyle w:val="Default"/>
              <w:spacing w:line="300" w:lineRule="auto"/>
              <w:jc w:val="both"/>
              <w:rPr>
                <w:color w:val="auto"/>
              </w:rPr>
            </w:pPr>
            <w:r w:rsidRPr="00A978B8">
              <w:rPr>
                <w:color w:val="auto"/>
              </w:rPr>
              <w:t xml:space="preserve">- </w:t>
            </w:r>
            <w:r w:rsidRPr="00A978B8">
              <w:rPr>
                <w:color w:val="auto"/>
                <w:lang w:val="vi-VN"/>
              </w:rPr>
              <w:t>Sản phẩm cho vay đóng học phí dành cho phụ huynh học sinh</w:t>
            </w:r>
          </w:p>
        </w:tc>
        <w:tc>
          <w:tcPr>
            <w:tcW w:w="4500" w:type="dxa"/>
          </w:tcPr>
          <w:p w14:paraId="5601D612" w14:textId="77777777" w:rsidR="000879BA" w:rsidRPr="00A978B8" w:rsidRDefault="000879BA" w:rsidP="004F2FA7">
            <w:pPr>
              <w:pStyle w:val="Default"/>
              <w:spacing w:line="300" w:lineRule="auto"/>
              <w:jc w:val="both"/>
              <w:rPr>
                <w:color w:val="auto"/>
              </w:rPr>
            </w:pPr>
            <w:r w:rsidRPr="00A978B8">
              <w:rPr>
                <w:color w:val="auto"/>
              </w:rPr>
              <w:t xml:space="preserve">Theo quy định hiện hành của VietinBank </w:t>
            </w:r>
          </w:p>
        </w:tc>
        <w:tc>
          <w:tcPr>
            <w:tcW w:w="4590" w:type="dxa"/>
          </w:tcPr>
          <w:p w14:paraId="2EA98018" w14:textId="77777777" w:rsidR="002C170E" w:rsidRPr="00A978B8" w:rsidRDefault="002C170E" w:rsidP="004F2FA7">
            <w:pPr>
              <w:pStyle w:val="Default"/>
              <w:spacing w:line="300" w:lineRule="auto"/>
              <w:jc w:val="both"/>
              <w:rPr>
                <w:color w:val="auto"/>
              </w:rPr>
            </w:pPr>
            <w:r w:rsidRPr="00A978B8">
              <w:rPr>
                <w:color w:val="auto"/>
              </w:rPr>
              <w:t>Giảm trừ tối đa là 0,2%/năm so với sàn CTTD VietinBank từng thời kỳ trong tối đa 36 tháng khi tham gia gói V-family Plus. Sau thời gian ưu đãi, lãi suất theo thông báo VietinBank từng thời kỳ.</w:t>
            </w:r>
          </w:p>
          <w:p w14:paraId="1C9B21A3" w14:textId="75CD5455" w:rsidR="000879BA" w:rsidRPr="00A978B8" w:rsidRDefault="000879BA" w:rsidP="004F2FA7">
            <w:pPr>
              <w:pStyle w:val="ListParagraph"/>
              <w:spacing w:after="0" w:line="300" w:lineRule="auto"/>
              <w:ind w:left="526" w:hanging="180"/>
              <w:jc w:val="both"/>
              <w:rPr>
                <w:rFonts w:ascii="Times New Roman" w:hAnsi="Times New Roman"/>
                <w:sz w:val="24"/>
                <w:szCs w:val="24"/>
                <w:lang w:val="vi-VN"/>
              </w:rPr>
            </w:pPr>
            <w:r w:rsidRPr="00A978B8">
              <w:rPr>
                <w:rFonts w:ascii="Times New Roman" w:hAnsi="Times New Roman"/>
                <w:sz w:val="24"/>
                <w:szCs w:val="24"/>
                <w:lang w:val="vi-VN"/>
              </w:rPr>
              <w:t xml:space="preserve"> </w:t>
            </w:r>
          </w:p>
        </w:tc>
      </w:tr>
      <w:tr w:rsidR="00A978B8" w:rsidRPr="00A978B8" w14:paraId="50A941EE" w14:textId="77777777" w:rsidTr="002C170E">
        <w:tc>
          <w:tcPr>
            <w:tcW w:w="404" w:type="dxa"/>
          </w:tcPr>
          <w:p w14:paraId="16CD1E21" w14:textId="77777777" w:rsidR="000879BA" w:rsidRPr="00A978B8" w:rsidRDefault="000879BA" w:rsidP="004F2FA7">
            <w:pPr>
              <w:pStyle w:val="Default"/>
              <w:spacing w:line="300" w:lineRule="auto"/>
              <w:jc w:val="center"/>
              <w:rPr>
                <w:color w:val="auto"/>
              </w:rPr>
            </w:pPr>
            <w:r w:rsidRPr="00A978B8">
              <w:rPr>
                <w:color w:val="auto"/>
              </w:rPr>
              <w:t>7</w:t>
            </w:r>
          </w:p>
        </w:tc>
        <w:tc>
          <w:tcPr>
            <w:tcW w:w="4726" w:type="dxa"/>
          </w:tcPr>
          <w:p w14:paraId="5609A371" w14:textId="77777777" w:rsidR="000879BA" w:rsidRPr="00A978B8" w:rsidRDefault="000879BA" w:rsidP="004F2FA7">
            <w:pPr>
              <w:pStyle w:val="Default"/>
              <w:spacing w:line="300" w:lineRule="auto"/>
              <w:jc w:val="both"/>
              <w:rPr>
                <w:color w:val="auto"/>
              </w:rPr>
            </w:pPr>
            <w:r w:rsidRPr="00A978B8">
              <w:rPr>
                <w:color w:val="auto"/>
              </w:rPr>
              <w:t>Sản phẩm chuyển tiền ngoại tệ</w:t>
            </w:r>
          </w:p>
        </w:tc>
        <w:tc>
          <w:tcPr>
            <w:tcW w:w="9090" w:type="dxa"/>
            <w:gridSpan w:val="2"/>
          </w:tcPr>
          <w:p w14:paraId="4ACFFC85" w14:textId="77777777" w:rsidR="000879BA" w:rsidRPr="00A978B8" w:rsidRDefault="000879BA" w:rsidP="004F2FA7">
            <w:pPr>
              <w:pStyle w:val="ListParagraph"/>
              <w:numPr>
                <w:ilvl w:val="0"/>
                <w:numId w:val="4"/>
              </w:numPr>
              <w:spacing w:after="0" w:line="300" w:lineRule="auto"/>
              <w:jc w:val="both"/>
              <w:rPr>
                <w:rFonts w:ascii="Times New Roman" w:hAnsi="Times New Roman"/>
                <w:bCs/>
                <w:sz w:val="24"/>
                <w:szCs w:val="24"/>
              </w:rPr>
            </w:pPr>
            <w:r w:rsidRPr="00A978B8">
              <w:rPr>
                <w:rFonts w:ascii="Times New Roman" w:hAnsi="Times New Roman"/>
                <w:bCs/>
                <w:sz w:val="24"/>
                <w:szCs w:val="24"/>
              </w:rPr>
              <w:t xml:space="preserve">Gói sản phẩm chuyển tiền du học, trợ cấp thân nhân (ưu đãi đến </w:t>
            </w:r>
            <w:r w:rsidRPr="00A978B8">
              <w:rPr>
                <w:rFonts w:ascii="Times New Roman" w:hAnsi="Times New Roman"/>
                <w:b/>
                <w:bCs/>
                <w:sz w:val="24"/>
                <w:szCs w:val="24"/>
              </w:rPr>
              <w:t>50% phí</w:t>
            </w:r>
            <w:r w:rsidRPr="00A978B8">
              <w:rPr>
                <w:rFonts w:ascii="Times New Roman" w:hAnsi="Times New Roman"/>
                <w:bCs/>
                <w:sz w:val="24"/>
                <w:szCs w:val="24"/>
              </w:rPr>
              <w:t xml:space="preserve"> chuyển tiền ngoại tệ, </w:t>
            </w:r>
            <w:r w:rsidRPr="00A978B8">
              <w:rPr>
                <w:rFonts w:ascii="Times New Roman" w:hAnsi="Times New Roman"/>
                <w:b/>
                <w:bCs/>
                <w:sz w:val="24"/>
                <w:szCs w:val="24"/>
              </w:rPr>
              <w:t>miễn phí</w:t>
            </w:r>
            <w:r w:rsidRPr="00A978B8">
              <w:rPr>
                <w:rFonts w:ascii="Times New Roman" w:hAnsi="Times New Roman"/>
                <w:bCs/>
                <w:sz w:val="24"/>
                <w:szCs w:val="24"/>
              </w:rPr>
              <w:t xml:space="preserve"> xác nhận số dư tiền gửi</w:t>
            </w:r>
            <w:r w:rsidRPr="00A978B8">
              <w:rPr>
                <w:rFonts w:ascii="Times New Roman" w:hAnsi="Times New Roman"/>
                <w:bCs/>
                <w:sz w:val="24"/>
                <w:szCs w:val="24"/>
                <w:lang w:val="en-US"/>
              </w:rPr>
              <w:t xml:space="preserve"> để chứng minh tài chính du học</w:t>
            </w:r>
            <w:r w:rsidRPr="00A978B8">
              <w:rPr>
                <w:rFonts w:ascii="Times New Roman" w:hAnsi="Times New Roman"/>
                <w:bCs/>
                <w:sz w:val="24"/>
                <w:szCs w:val="24"/>
              </w:rPr>
              <w:t xml:space="preserve">, </w:t>
            </w:r>
            <w:r w:rsidRPr="00A978B8">
              <w:rPr>
                <w:rFonts w:ascii="Times New Roman" w:hAnsi="Times New Roman"/>
                <w:b/>
                <w:bCs/>
                <w:sz w:val="24"/>
                <w:szCs w:val="24"/>
              </w:rPr>
              <w:t>ưu đãi</w:t>
            </w:r>
            <w:r w:rsidRPr="00A978B8">
              <w:rPr>
                <w:rFonts w:ascii="Times New Roman" w:hAnsi="Times New Roman"/>
                <w:bCs/>
                <w:sz w:val="24"/>
                <w:szCs w:val="24"/>
              </w:rPr>
              <w:t xml:space="preserve"> </w:t>
            </w:r>
            <w:r w:rsidRPr="00A978B8">
              <w:rPr>
                <w:rFonts w:ascii="Times New Roman" w:hAnsi="Times New Roman"/>
                <w:b/>
                <w:bCs/>
                <w:sz w:val="24"/>
                <w:szCs w:val="24"/>
              </w:rPr>
              <w:t>50%</w:t>
            </w:r>
            <w:r w:rsidRPr="00A978B8">
              <w:rPr>
                <w:rFonts w:ascii="Times New Roman" w:hAnsi="Times New Roman"/>
                <w:bCs/>
                <w:sz w:val="24"/>
                <w:szCs w:val="24"/>
              </w:rPr>
              <w:t xml:space="preserve"> phí bảo hiểm du lịch quốc tế cho du học sinh…); </w:t>
            </w:r>
          </w:p>
          <w:p w14:paraId="28174552" w14:textId="77777777" w:rsidR="000879BA" w:rsidRPr="00A978B8" w:rsidRDefault="000879BA" w:rsidP="004F2FA7">
            <w:pPr>
              <w:pStyle w:val="ListParagraph"/>
              <w:numPr>
                <w:ilvl w:val="0"/>
                <w:numId w:val="4"/>
              </w:numPr>
              <w:spacing w:after="0" w:line="300" w:lineRule="auto"/>
              <w:jc w:val="both"/>
              <w:rPr>
                <w:rFonts w:ascii="Times New Roman" w:hAnsi="Times New Roman"/>
                <w:bCs/>
                <w:sz w:val="24"/>
                <w:szCs w:val="24"/>
              </w:rPr>
            </w:pPr>
            <w:r w:rsidRPr="00A978B8">
              <w:rPr>
                <w:rFonts w:ascii="Times New Roman" w:hAnsi="Times New Roman"/>
                <w:bCs/>
                <w:sz w:val="24"/>
                <w:szCs w:val="24"/>
              </w:rPr>
              <w:t>Ưu đãi phí chuyển tiền ngoại tệ dành cho phân khúc Khách hàng ưu tiên với tất cả các mục đích chuyển tiền ngoại tệ;</w:t>
            </w:r>
          </w:p>
          <w:p w14:paraId="1FCB2DD0" w14:textId="77777777" w:rsidR="000879BA" w:rsidRPr="00A978B8" w:rsidRDefault="000879BA" w:rsidP="004F2FA7">
            <w:pPr>
              <w:pStyle w:val="ListParagraph"/>
              <w:numPr>
                <w:ilvl w:val="0"/>
                <w:numId w:val="7"/>
              </w:numPr>
              <w:spacing w:after="0" w:line="300" w:lineRule="auto"/>
              <w:rPr>
                <w:rFonts w:ascii="Times New Roman" w:hAnsi="Times New Roman"/>
                <w:sz w:val="24"/>
                <w:szCs w:val="24"/>
                <w:lang w:val="en-US"/>
              </w:rPr>
            </w:pPr>
            <w:r w:rsidRPr="00A978B8">
              <w:rPr>
                <w:rFonts w:ascii="Times New Roman" w:hAnsi="Times New Roman"/>
                <w:bCs/>
                <w:sz w:val="24"/>
                <w:szCs w:val="24"/>
              </w:rPr>
              <w:t>Ưu đãi tỷ giá mua bán ngoại tệ;</w:t>
            </w:r>
          </w:p>
        </w:tc>
      </w:tr>
    </w:tbl>
    <w:p w14:paraId="1D2DDFF7" w14:textId="77777777" w:rsidR="004F2FA7" w:rsidRPr="00A978B8" w:rsidRDefault="004F2FA7" w:rsidP="000879BA">
      <w:pPr>
        <w:pStyle w:val="NoSpacing"/>
        <w:numPr>
          <w:ilvl w:val="0"/>
          <w:numId w:val="12"/>
        </w:numPr>
        <w:spacing w:line="360" w:lineRule="auto"/>
        <w:rPr>
          <w:b/>
        </w:rPr>
        <w:sectPr w:rsidR="004F2FA7" w:rsidRPr="00A978B8" w:rsidSect="004F2FA7">
          <w:footerReference w:type="default" r:id="rId8"/>
          <w:pgSz w:w="16834" w:h="11909" w:orient="landscape" w:code="9"/>
          <w:pgMar w:top="1440" w:right="1440" w:bottom="1440" w:left="1440" w:header="720" w:footer="720" w:gutter="0"/>
          <w:cols w:space="720"/>
          <w:docGrid w:linePitch="360"/>
        </w:sectPr>
      </w:pPr>
    </w:p>
    <w:p w14:paraId="46420D3E" w14:textId="56E152AF" w:rsidR="000879BA" w:rsidRPr="00A978B8" w:rsidRDefault="000879BA" w:rsidP="000879BA">
      <w:pPr>
        <w:pStyle w:val="NoSpacing"/>
        <w:numPr>
          <w:ilvl w:val="0"/>
          <w:numId w:val="12"/>
        </w:numPr>
        <w:spacing w:line="360" w:lineRule="auto"/>
      </w:pPr>
      <w:r w:rsidRPr="00A978B8">
        <w:rPr>
          <w:b/>
        </w:rPr>
        <w:lastRenderedPageBreak/>
        <w:t>Điều kiện đăng ký/tham gia nhóm gia đình</w:t>
      </w:r>
    </w:p>
    <w:p w14:paraId="6F02E1C8" w14:textId="77777777" w:rsidR="000879BA" w:rsidRPr="00A978B8" w:rsidRDefault="000879BA" w:rsidP="000879BA">
      <w:pPr>
        <w:pStyle w:val="Default"/>
        <w:numPr>
          <w:ilvl w:val="0"/>
          <w:numId w:val="4"/>
        </w:numPr>
        <w:spacing w:line="360" w:lineRule="auto"/>
        <w:jc w:val="both"/>
        <w:rPr>
          <w:color w:val="auto"/>
        </w:rPr>
      </w:pPr>
      <w:r w:rsidRPr="00A978B8">
        <w:rPr>
          <w:bCs/>
          <w:color w:val="auto"/>
        </w:rPr>
        <w:t>Nhóm khách hàng gồm tối thiểu 02 thành viên trở lên có quan hệ  gia đình</w:t>
      </w:r>
      <w:r w:rsidRPr="00A978B8">
        <w:rPr>
          <w:rStyle w:val="FootnoteReference"/>
          <w:bCs/>
          <w:color w:val="auto"/>
        </w:rPr>
        <w:footnoteReference w:id="3"/>
      </w:r>
      <w:r w:rsidRPr="00A978B8">
        <w:rPr>
          <w:bCs/>
          <w:color w:val="auto"/>
        </w:rPr>
        <w:t>,trong đó:</w:t>
      </w:r>
    </w:p>
    <w:p w14:paraId="5C9CA2D3" w14:textId="77777777" w:rsidR="000879BA" w:rsidRPr="00A978B8" w:rsidRDefault="000879BA" w:rsidP="000879BA">
      <w:pPr>
        <w:pStyle w:val="Default"/>
        <w:spacing w:line="360" w:lineRule="auto"/>
        <w:ind w:left="720"/>
        <w:jc w:val="both"/>
        <w:rPr>
          <w:bCs/>
          <w:color w:val="auto"/>
        </w:rPr>
      </w:pPr>
      <w:r w:rsidRPr="00A978B8">
        <w:rPr>
          <w:bCs/>
          <w:color w:val="auto"/>
        </w:rPr>
        <w:t xml:space="preserve">+ Thành viên chính (Trưởng nhóm): là người đăng ký khởi tạo/thêm mới thành viên trong nhóm gia đình (gọi là Family ID). </w:t>
      </w:r>
    </w:p>
    <w:p w14:paraId="001F6B86" w14:textId="77777777" w:rsidR="000879BA" w:rsidRPr="00A978B8" w:rsidRDefault="000879BA" w:rsidP="000879BA">
      <w:pPr>
        <w:pStyle w:val="Default"/>
        <w:spacing w:line="360" w:lineRule="auto"/>
        <w:ind w:left="720"/>
        <w:jc w:val="both"/>
        <w:rPr>
          <w:bCs/>
          <w:color w:val="auto"/>
        </w:rPr>
      </w:pPr>
      <w:r w:rsidRPr="00A978B8">
        <w:rPr>
          <w:bCs/>
          <w:color w:val="auto"/>
        </w:rPr>
        <w:t>+ Các thành viên phụ có mối quan hệ với thành viên chính bao gồm: Ông/bà, bố/mẹ ruột, bố/mẹ của vợ/chồng, vợ/chồng, con. Thành viên phụ tham gia vào nhóm phải được sự đồng ý của thành viên chính và thành viên chính đăng ký khởi tạo/thêm mới thành viên phụ trong nhóm gia đình cần có sự đồng ý của chính thành viên phụ tham gia..</w:t>
      </w:r>
    </w:p>
    <w:p w14:paraId="506C9240" w14:textId="77777777" w:rsidR="000879BA" w:rsidRPr="00A978B8" w:rsidRDefault="000879BA" w:rsidP="000879BA">
      <w:pPr>
        <w:pStyle w:val="Default"/>
        <w:spacing w:line="360" w:lineRule="auto"/>
        <w:ind w:left="720"/>
        <w:jc w:val="both"/>
        <w:rPr>
          <w:bCs/>
          <w:color w:val="auto"/>
        </w:rPr>
      </w:pPr>
      <w:r w:rsidRPr="00A978B8">
        <w:rPr>
          <w:bCs/>
          <w:color w:val="auto"/>
        </w:rPr>
        <w:t>+ Thành viên chính có quyền hủy tư cách (xóa) thành viên phụ trong nhóm gia đình hoặc xóa nhóm gia đình mà không cần sự đồng ý của thành viên phụ.</w:t>
      </w:r>
    </w:p>
    <w:p w14:paraId="70337F49" w14:textId="77777777" w:rsidR="000879BA" w:rsidRPr="00A978B8" w:rsidRDefault="000879BA" w:rsidP="000879BA">
      <w:pPr>
        <w:pStyle w:val="Default"/>
        <w:spacing w:line="360" w:lineRule="auto"/>
        <w:ind w:left="720"/>
        <w:jc w:val="both"/>
        <w:rPr>
          <w:bCs/>
          <w:color w:val="auto"/>
        </w:rPr>
      </w:pPr>
      <w:r w:rsidRPr="00A978B8">
        <w:rPr>
          <w:bCs/>
          <w:color w:val="auto"/>
        </w:rPr>
        <w:t>+ Các thành viên phụ được quyền xóa thành viên của chính mình trong nhóm gia đình mà không cần sự đồng ý của thành viên chính và các thành viên phụ khác (ngoại trừ trường hợp xóa nhóm cần có sự đồng ý của thành viên chính).</w:t>
      </w:r>
    </w:p>
    <w:p w14:paraId="02A6FA2D" w14:textId="77777777" w:rsidR="000879BA" w:rsidRPr="00A978B8" w:rsidRDefault="000879BA" w:rsidP="000879BA">
      <w:pPr>
        <w:pStyle w:val="Default"/>
        <w:numPr>
          <w:ilvl w:val="0"/>
          <w:numId w:val="4"/>
        </w:numPr>
        <w:spacing w:line="360" w:lineRule="auto"/>
        <w:jc w:val="both"/>
        <w:rPr>
          <w:bCs/>
          <w:color w:val="auto"/>
        </w:rPr>
      </w:pPr>
      <w:r w:rsidRPr="00A978B8">
        <w:rPr>
          <w:bCs/>
          <w:color w:val="auto"/>
        </w:rPr>
        <w:t>Tại một thời điểm, mỗi khách hàng chỉ được tham gia 1 nhóm gia đình (thuộc 1 Family ID).</w:t>
      </w:r>
    </w:p>
    <w:p w14:paraId="5AD83E21" w14:textId="77777777" w:rsidR="000879BA" w:rsidRPr="00A978B8" w:rsidRDefault="000879BA" w:rsidP="000879BA">
      <w:pPr>
        <w:pStyle w:val="Default"/>
        <w:numPr>
          <w:ilvl w:val="0"/>
          <w:numId w:val="4"/>
        </w:numPr>
        <w:spacing w:line="360" w:lineRule="auto"/>
        <w:jc w:val="both"/>
        <w:rPr>
          <w:bCs/>
          <w:color w:val="auto"/>
        </w:rPr>
      </w:pPr>
      <w:r w:rsidRPr="00A978B8">
        <w:rPr>
          <w:b/>
          <w:bCs/>
          <w:color w:val="auto"/>
        </w:rPr>
        <w:t>Family ID</w:t>
      </w:r>
      <w:r w:rsidRPr="00A978B8">
        <w:rPr>
          <w:bCs/>
          <w:color w:val="auto"/>
        </w:rPr>
        <w:t xml:space="preserve"> là mã số định danh được sử dụng đại diện cho mỗi nhóm gia đình để hưởng các chính sách ưu đãi do VietinBank áp dụng trong từng thời kỳ. </w:t>
      </w:r>
    </w:p>
    <w:p w14:paraId="34D45128" w14:textId="77777777" w:rsidR="000879BA" w:rsidRPr="00A978B8" w:rsidRDefault="000879BA" w:rsidP="000879BA">
      <w:pPr>
        <w:pStyle w:val="Default"/>
        <w:numPr>
          <w:ilvl w:val="0"/>
          <w:numId w:val="4"/>
        </w:numPr>
        <w:spacing w:line="360" w:lineRule="auto"/>
        <w:jc w:val="both"/>
        <w:rPr>
          <w:bCs/>
          <w:color w:val="auto"/>
        </w:rPr>
      </w:pPr>
      <w:r w:rsidRPr="00A978B8">
        <w:rPr>
          <w:bCs/>
          <w:color w:val="auto"/>
        </w:rPr>
        <w:t>Family ID cần duy trì tối thiểu 6 tháng kể từ ngày tạo nhóm, khi đảm bảo thời gian duy trì thì thành viên chính được phép xóa nhóm.</w:t>
      </w:r>
    </w:p>
    <w:p w14:paraId="503A3BDB" w14:textId="77777777" w:rsidR="000879BA" w:rsidRPr="00A978B8" w:rsidRDefault="000879BA" w:rsidP="000879BA">
      <w:pPr>
        <w:pStyle w:val="NoSpacing"/>
        <w:numPr>
          <w:ilvl w:val="0"/>
          <w:numId w:val="12"/>
        </w:numPr>
        <w:spacing w:line="360" w:lineRule="auto"/>
        <w:rPr>
          <w:bCs/>
        </w:rPr>
      </w:pPr>
      <w:r w:rsidRPr="00A978B8">
        <w:rPr>
          <w:b/>
          <w:bCs/>
        </w:rPr>
        <w:t>Thủ tục đăng ký/thay đổi thông tin nhóm gia đình</w:t>
      </w:r>
    </w:p>
    <w:p w14:paraId="65170F9B" w14:textId="77777777" w:rsidR="000879BA" w:rsidRPr="00A978B8" w:rsidRDefault="000879BA" w:rsidP="000879BA">
      <w:pPr>
        <w:pStyle w:val="Default"/>
        <w:numPr>
          <w:ilvl w:val="0"/>
          <w:numId w:val="4"/>
        </w:numPr>
        <w:spacing w:line="360" w:lineRule="auto"/>
        <w:jc w:val="both"/>
        <w:rPr>
          <w:bCs/>
          <w:color w:val="auto"/>
        </w:rPr>
      </w:pPr>
      <w:r w:rsidRPr="00A978B8">
        <w:rPr>
          <w:bCs/>
          <w:color w:val="auto"/>
        </w:rPr>
        <w:t>Đăng ký mới nhóm gia đình (Family ID): Thành viên chính và thành viên phụ đến Quầy giao dịch, cung cấp các hồ sơ gồm: Giấy tờ tùy thân của các KH tham gia nhóm (bản gốc), Giấy tờ chứng minh quan hệ của khách hàng: Đăng ký kết hôn/ Giấy Khai Sinh…(bản gốc/bản sao công chứng) và hoàn thiện đề nghị đăng ký nhóm gia đình theo biểu mẫu do VietinBank cung cấp.Trường hợp thành viên chính là người giám hộ của thành viên phụ (bố/mẹ giám hộ cho con,…) thì chỉ cần thành viên chính đến quầy thực hiện thủ tục đăng ký nhóm.</w:t>
      </w:r>
    </w:p>
    <w:p w14:paraId="40BE9F5A" w14:textId="77777777" w:rsidR="000879BA" w:rsidRPr="00A978B8" w:rsidRDefault="000879BA" w:rsidP="000879BA">
      <w:pPr>
        <w:pStyle w:val="Default"/>
        <w:numPr>
          <w:ilvl w:val="0"/>
          <w:numId w:val="4"/>
        </w:numPr>
        <w:spacing w:line="360" w:lineRule="auto"/>
        <w:jc w:val="both"/>
        <w:rPr>
          <w:color w:val="auto"/>
        </w:rPr>
      </w:pPr>
      <w:r w:rsidRPr="00A978B8">
        <w:rPr>
          <w:bCs/>
          <w:color w:val="auto"/>
        </w:rPr>
        <w:t>Đăng ký thêm mới thành viên phụ vào nhóm gia đình: Thành viên chính và thành viên phụ thêm mới đến Quầy giao dịch cung cấp và hoàn thiện hồ sơ tương tự trường hợp Đăng ký mới.</w:t>
      </w:r>
    </w:p>
    <w:p w14:paraId="17D84DB5" w14:textId="0FAF5445" w:rsidR="00361FD8" w:rsidRPr="00A978B8" w:rsidRDefault="000879BA" w:rsidP="004F2FA7">
      <w:pPr>
        <w:pStyle w:val="Default"/>
        <w:numPr>
          <w:ilvl w:val="0"/>
          <w:numId w:val="14"/>
        </w:numPr>
        <w:spacing w:line="360" w:lineRule="auto"/>
        <w:jc w:val="both"/>
        <w:rPr>
          <w:color w:val="auto"/>
        </w:rPr>
      </w:pPr>
      <w:r w:rsidRPr="00A978B8">
        <w:rPr>
          <w:bCs/>
          <w:color w:val="auto"/>
        </w:rPr>
        <w:lastRenderedPageBreak/>
        <w:t>Thay đổi thông tin trong nhóm gia đình (Xóa thành viên trong nhóm, sửa quan hệ trong nhóm, Xóa nhóm gia đình</w:t>
      </w:r>
      <w:r w:rsidRPr="00A978B8">
        <w:rPr>
          <w:rStyle w:val="FootnoteReference"/>
          <w:bCs/>
          <w:color w:val="auto"/>
        </w:rPr>
        <w:footnoteReference w:id="4"/>
      </w:r>
      <w:r w:rsidRPr="00A978B8">
        <w:rPr>
          <w:bCs/>
          <w:color w:val="auto"/>
        </w:rPr>
        <w:t xml:space="preserve">): </w:t>
      </w:r>
      <w:r w:rsidRPr="00A978B8">
        <w:rPr>
          <w:color w:val="auto"/>
        </w:rPr>
        <w:t>Khách hàng đã là thành viên tham gia nhóm gia đình cần thay đổi thông tin cung cấp các hồ sơ gồm: Giấy tờ tùy thân của KH (bản gốc); Giấy tờ khác liên quan đến việc thay đổi thông tin và hoàn thiện đề nghị thay đổi thông tin thành viên trong nhóm gia đình theo biểu mẫu do VietinBank cung cấp.</w:t>
      </w:r>
    </w:p>
    <w:p w14:paraId="1703C885" w14:textId="77777777" w:rsidR="004F2FA7" w:rsidRPr="00A978B8" w:rsidRDefault="004F2FA7" w:rsidP="004F2FA7">
      <w:pPr>
        <w:pStyle w:val="NoSpacing"/>
        <w:spacing w:line="360" w:lineRule="auto"/>
        <w:ind w:firstLine="360"/>
        <w:jc w:val="both"/>
        <w:rPr>
          <w:rFonts w:ascii="Times New Roman" w:hAnsi="Times New Roman" w:cs="Times New Roman"/>
          <w:sz w:val="24"/>
          <w:szCs w:val="24"/>
          <w:shd w:val="clear" w:color="auto" w:fill="FFFFFF"/>
        </w:rPr>
      </w:pPr>
      <w:r w:rsidRPr="00A978B8">
        <w:rPr>
          <w:rFonts w:ascii="Times New Roman" w:hAnsi="Times New Roman" w:cs="Times New Roman"/>
          <w:sz w:val="24"/>
          <w:szCs w:val="24"/>
          <w:shd w:val="clear" w:color="auto" w:fill="FFFFFF"/>
        </w:rPr>
        <w:t xml:space="preserve">Thông tin </w:t>
      </w:r>
      <w:r w:rsidRPr="00A978B8">
        <w:rPr>
          <w:rFonts w:ascii="Times New Roman" w:hAnsi="Times New Roman" w:cs="Times New Roman"/>
          <w:sz w:val="24"/>
          <w:szCs w:val="24"/>
        </w:rPr>
        <w:t>chi</w:t>
      </w:r>
      <w:r w:rsidRPr="00A978B8">
        <w:rPr>
          <w:rFonts w:ascii="Times New Roman" w:hAnsi="Times New Roman" w:cs="Times New Roman"/>
          <w:sz w:val="24"/>
          <w:szCs w:val="24"/>
          <w:shd w:val="clear" w:color="auto" w:fill="FFFFFF"/>
        </w:rPr>
        <w:t xml:space="preserve"> tiết, khách hàng vui lòng liên hệ Chi nhánh/Phòng giao dịch VietinBank trên toàn quốc hoặc Tổng đài Hỗ trợ khách hàng: 1900 558 868; Email: </w:t>
      </w:r>
      <w:hyperlink r:id="rId9" w:history="1">
        <w:r w:rsidRPr="00A978B8">
          <w:rPr>
            <w:rStyle w:val="Hyperlink"/>
            <w:rFonts w:ascii="Times New Roman" w:hAnsi="Times New Roman" w:cs="Times New Roman"/>
            <w:color w:val="auto"/>
            <w:sz w:val="24"/>
            <w:szCs w:val="24"/>
            <w:bdr w:val="single" w:sz="2" w:space="0" w:color="E5E7EB" w:frame="1"/>
            <w:shd w:val="clear" w:color="auto" w:fill="FFFFFF"/>
          </w:rPr>
          <w:t>contact@vietinbank.vn</w:t>
        </w:r>
      </w:hyperlink>
      <w:r w:rsidRPr="00A978B8">
        <w:rPr>
          <w:rFonts w:ascii="Times New Roman" w:hAnsi="Times New Roman" w:cs="Times New Roman"/>
          <w:sz w:val="24"/>
          <w:szCs w:val="24"/>
          <w:shd w:val="clear" w:color="auto" w:fill="FFFFFF"/>
        </w:rPr>
        <w:t>.</w:t>
      </w:r>
    </w:p>
    <w:p w14:paraId="5440A552" w14:textId="77777777" w:rsidR="004F2FA7" w:rsidRPr="00A978B8" w:rsidRDefault="004F2FA7" w:rsidP="004F2FA7">
      <w:pPr>
        <w:pStyle w:val="Default"/>
        <w:spacing w:line="360" w:lineRule="auto"/>
        <w:ind w:left="360"/>
        <w:jc w:val="both"/>
        <w:rPr>
          <w:color w:val="auto"/>
        </w:rPr>
      </w:pPr>
    </w:p>
    <w:sectPr w:rsidR="004F2FA7" w:rsidRPr="00A978B8" w:rsidSect="005209D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3E5F5" w14:textId="77777777" w:rsidR="00935468" w:rsidRDefault="00935468" w:rsidP="00B846D2">
      <w:pPr>
        <w:spacing w:after="0" w:line="240" w:lineRule="auto"/>
      </w:pPr>
      <w:r>
        <w:separator/>
      </w:r>
    </w:p>
  </w:endnote>
  <w:endnote w:type="continuationSeparator" w:id="0">
    <w:p w14:paraId="7D6D396C" w14:textId="77777777" w:rsidR="00935468" w:rsidRDefault="00935468" w:rsidP="00B84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832489"/>
      <w:docPartObj>
        <w:docPartGallery w:val="Page Numbers (Bottom of Page)"/>
        <w:docPartUnique/>
      </w:docPartObj>
    </w:sdtPr>
    <w:sdtEndPr>
      <w:rPr>
        <w:noProof/>
      </w:rPr>
    </w:sdtEndPr>
    <w:sdtContent>
      <w:p w14:paraId="7C48677F" w14:textId="18256858" w:rsidR="000D1DE8" w:rsidRDefault="000D1DE8">
        <w:pPr>
          <w:pStyle w:val="Footer"/>
          <w:jc w:val="right"/>
        </w:pPr>
        <w:r>
          <w:fldChar w:fldCharType="begin"/>
        </w:r>
        <w:r>
          <w:instrText xml:space="preserve"> PAGE   \* MERGEFORMAT </w:instrText>
        </w:r>
        <w:r>
          <w:fldChar w:fldCharType="separate"/>
        </w:r>
        <w:r w:rsidR="00001E55">
          <w:rPr>
            <w:noProof/>
          </w:rPr>
          <w:t>4</w:t>
        </w:r>
        <w:r>
          <w:rPr>
            <w:noProof/>
          </w:rPr>
          <w:fldChar w:fldCharType="end"/>
        </w:r>
      </w:p>
    </w:sdtContent>
  </w:sdt>
  <w:p w14:paraId="00B765C8" w14:textId="77777777" w:rsidR="000D1DE8" w:rsidRDefault="000D1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179F8" w14:textId="77777777" w:rsidR="00935468" w:rsidRDefault="00935468" w:rsidP="00B846D2">
      <w:pPr>
        <w:spacing w:after="0" w:line="240" w:lineRule="auto"/>
      </w:pPr>
      <w:r>
        <w:separator/>
      </w:r>
    </w:p>
  </w:footnote>
  <w:footnote w:type="continuationSeparator" w:id="0">
    <w:p w14:paraId="0CC79EA4" w14:textId="77777777" w:rsidR="00935468" w:rsidRDefault="00935468" w:rsidP="00B846D2">
      <w:pPr>
        <w:spacing w:after="0" w:line="240" w:lineRule="auto"/>
      </w:pPr>
      <w:r>
        <w:continuationSeparator/>
      </w:r>
    </w:p>
  </w:footnote>
  <w:footnote w:id="1">
    <w:p w14:paraId="2A450229" w14:textId="755C52CE" w:rsidR="00A6512A" w:rsidRPr="00A6512A" w:rsidRDefault="00A6512A">
      <w:pPr>
        <w:pStyle w:val="FootnoteText"/>
        <w:rPr>
          <w:rFonts w:asciiTheme="majorHAnsi" w:hAnsiTheme="majorHAnsi" w:cstheme="majorHAnsi"/>
          <w:i/>
          <w:sz w:val="16"/>
          <w:szCs w:val="16"/>
        </w:rPr>
      </w:pPr>
      <w:r w:rsidRPr="00A6512A">
        <w:rPr>
          <w:rStyle w:val="FootnoteReference"/>
          <w:rFonts w:asciiTheme="majorHAnsi" w:hAnsiTheme="majorHAnsi" w:cstheme="majorHAnsi"/>
          <w:i/>
          <w:sz w:val="16"/>
          <w:szCs w:val="16"/>
        </w:rPr>
        <w:footnoteRef/>
      </w:r>
      <w:r w:rsidRPr="00A6512A">
        <w:rPr>
          <w:rFonts w:asciiTheme="majorHAnsi" w:hAnsiTheme="majorHAnsi" w:cstheme="majorHAnsi"/>
          <w:i/>
          <w:sz w:val="16"/>
          <w:szCs w:val="16"/>
        </w:rPr>
        <w:t xml:space="preserve"> Đăng ký/thủ tục/thay đổi nhóm gia đình xem tại mục 2 và mục 3 của thể lệ này</w:t>
      </w:r>
    </w:p>
  </w:footnote>
  <w:footnote w:id="2">
    <w:p w14:paraId="0853183D" w14:textId="77777777" w:rsidR="000879BA" w:rsidRPr="004E1CCE" w:rsidRDefault="000879BA" w:rsidP="000879BA">
      <w:pPr>
        <w:pStyle w:val="FootnoteText"/>
        <w:jc w:val="both"/>
        <w:rPr>
          <w:rFonts w:ascii="Times New Roman" w:hAnsi="Times New Roman"/>
          <w:i/>
          <w:sz w:val="16"/>
          <w:szCs w:val="16"/>
        </w:rPr>
      </w:pPr>
      <w:r w:rsidRPr="004E1CCE">
        <w:rPr>
          <w:rStyle w:val="FootnoteReference"/>
          <w:rFonts w:ascii="Times New Roman" w:hAnsi="Times New Roman"/>
          <w:sz w:val="16"/>
          <w:szCs w:val="16"/>
        </w:rPr>
        <w:footnoteRef/>
      </w:r>
      <w:r w:rsidRPr="004E1CCE">
        <w:rPr>
          <w:rFonts w:ascii="Times New Roman" w:hAnsi="Times New Roman"/>
          <w:sz w:val="16"/>
          <w:szCs w:val="16"/>
        </w:rPr>
        <w:t xml:space="preserve"> </w:t>
      </w:r>
      <w:r w:rsidRPr="004E1CCE">
        <w:rPr>
          <w:rFonts w:ascii="Times New Roman" w:hAnsi="Times New Roman"/>
          <w:i/>
          <w:sz w:val="16"/>
          <w:szCs w:val="16"/>
        </w:rPr>
        <w:t xml:space="preserve">Tổng số dư tiền gửi </w:t>
      </w:r>
      <w:r w:rsidRPr="004E1CCE">
        <w:rPr>
          <w:rFonts w:ascii="Times New Roman" w:hAnsi="Times New Roman"/>
          <w:i/>
          <w:sz w:val="16"/>
          <w:szCs w:val="16"/>
          <w:lang w:val="vi-VN"/>
        </w:rPr>
        <w:t>CKH</w:t>
      </w:r>
      <w:r w:rsidRPr="004E1CCE">
        <w:rPr>
          <w:rFonts w:ascii="Times New Roman" w:hAnsi="Times New Roman"/>
          <w:i/>
          <w:sz w:val="16"/>
          <w:szCs w:val="16"/>
        </w:rPr>
        <w:t xml:space="preserve"> của nhóm gia đình: là tổng số dư tiền gửi gốc của các tài khoản tiền gửi có kỳ hạn quy đổi VNĐ (tiền ngoại tệ quy đổi VNĐ theo tỷ giá mua chuyển khoản) có chủ sở hữu là các thành viên trong nhóm, bao gồm các khoản tiền gửi trên hệ thống có trạng thái active, dormant và số dư khoản tiền gửi</w:t>
      </w:r>
      <w:r w:rsidRPr="004E1CCE">
        <w:rPr>
          <w:rFonts w:ascii="Times New Roman" w:hAnsi="Times New Roman"/>
          <w:i/>
          <w:sz w:val="16"/>
          <w:szCs w:val="16"/>
          <w:lang w:val="vi-VN"/>
        </w:rPr>
        <w:t xml:space="preserve"> mới</w:t>
      </w:r>
      <w:r w:rsidRPr="004E1CCE">
        <w:rPr>
          <w:rFonts w:ascii="Times New Roman" w:hAnsi="Times New Roman"/>
          <w:i/>
          <w:sz w:val="16"/>
          <w:szCs w:val="16"/>
        </w:rPr>
        <w:t xml:space="preserve"> đang thực hiện giao dịch (trường hợp thành viên nhóm thực hiện giao dịch gửi tiền gửi có kỳ hạn mới).</w:t>
      </w:r>
    </w:p>
  </w:footnote>
  <w:footnote w:id="3">
    <w:p w14:paraId="0B655266" w14:textId="77777777" w:rsidR="000879BA" w:rsidRPr="004E1CCE" w:rsidRDefault="000879BA" w:rsidP="000879BA">
      <w:pPr>
        <w:pStyle w:val="FootnoteText"/>
        <w:rPr>
          <w:rFonts w:ascii="Times New Roman" w:hAnsi="Times New Roman"/>
          <w:i/>
          <w:sz w:val="16"/>
          <w:szCs w:val="16"/>
        </w:rPr>
      </w:pPr>
      <w:r w:rsidRPr="004E1CCE">
        <w:rPr>
          <w:rStyle w:val="FootnoteReference"/>
          <w:rFonts w:ascii="Times New Roman" w:hAnsi="Times New Roman"/>
          <w:i/>
          <w:sz w:val="16"/>
          <w:szCs w:val="16"/>
        </w:rPr>
        <w:footnoteRef/>
      </w:r>
      <w:r w:rsidRPr="004E1CCE">
        <w:rPr>
          <w:rFonts w:ascii="Times New Roman" w:hAnsi="Times New Roman"/>
          <w:i/>
          <w:sz w:val="16"/>
          <w:szCs w:val="16"/>
        </w:rPr>
        <w:t xml:space="preserve"> Không giới hạn số lượng tối đa các thành viên tham gia 1 nhóm gia đình (1 Family ID), trường hợp không đủ số lượng tối thiểu thành viên tham gia nhóm thì nhóm sẽ bị xóa.</w:t>
      </w:r>
    </w:p>
  </w:footnote>
  <w:footnote w:id="4">
    <w:p w14:paraId="4916C0D6" w14:textId="77777777" w:rsidR="000879BA" w:rsidRPr="004E1CCE" w:rsidRDefault="000879BA" w:rsidP="000879BA">
      <w:pPr>
        <w:pStyle w:val="FootnoteText"/>
        <w:rPr>
          <w:rFonts w:ascii="Times New Roman" w:hAnsi="Times New Roman"/>
          <w:i/>
          <w:sz w:val="16"/>
          <w:szCs w:val="16"/>
        </w:rPr>
      </w:pPr>
      <w:r w:rsidRPr="004E1CCE">
        <w:rPr>
          <w:rStyle w:val="FootnoteReference"/>
          <w:rFonts w:ascii="Times New Roman" w:hAnsi="Times New Roman"/>
          <w:sz w:val="16"/>
          <w:szCs w:val="16"/>
        </w:rPr>
        <w:footnoteRef/>
      </w:r>
      <w:r w:rsidRPr="004E1CCE">
        <w:rPr>
          <w:rFonts w:ascii="Times New Roman" w:hAnsi="Times New Roman"/>
          <w:sz w:val="16"/>
          <w:szCs w:val="16"/>
        </w:rPr>
        <w:t xml:space="preserve"> </w:t>
      </w:r>
      <w:r w:rsidRPr="004E1CCE">
        <w:rPr>
          <w:rFonts w:ascii="Times New Roman" w:hAnsi="Times New Roman"/>
          <w:i/>
          <w:sz w:val="16"/>
          <w:szCs w:val="16"/>
        </w:rPr>
        <w:t xml:space="preserve">Sau tối thiểu 6 tháng kể từ ngày khởi tạo nhóm, nhóm gia đình được phép xóa nhóm bởi thành viên chính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059C1"/>
    <w:multiLevelType w:val="multilevel"/>
    <w:tmpl w:val="369C7C8C"/>
    <w:lvl w:ilvl="0">
      <w:start w:val="1"/>
      <w:numFmt w:val="decimal"/>
      <w:lvlText w:val="%1."/>
      <w:lvlJc w:val="left"/>
      <w:pPr>
        <w:ind w:left="360" w:hanging="360"/>
      </w:pPr>
      <w:rPr>
        <w:rFonts w:ascii="Times New Roman" w:hAnsi="Times New Roman" w:cs="Times New Roman" w:hint="default"/>
        <w:b/>
        <w:i w:val="0"/>
        <w:color w:val="auto"/>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222"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EFA363D"/>
    <w:multiLevelType w:val="hybridMultilevel"/>
    <w:tmpl w:val="1E027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E6251B"/>
    <w:multiLevelType w:val="hybridMultilevel"/>
    <w:tmpl w:val="DE4A7016"/>
    <w:lvl w:ilvl="0" w:tplc="6FA6ABCA">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DD616C"/>
    <w:multiLevelType w:val="hybridMultilevel"/>
    <w:tmpl w:val="7752FAB6"/>
    <w:lvl w:ilvl="0" w:tplc="16AC0A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714CC"/>
    <w:multiLevelType w:val="hybridMultilevel"/>
    <w:tmpl w:val="E4F07578"/>
    <w:lvl w:ilvl="0" w:tplc="D8C810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3732C"/>
    <w:multiLevelType w:val="hybridMultilevel"/>
    <w:tmpl w:val="BB1CD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E036C1"/>
    <w:multiLevelType w:val="hybridMultilevel"/>
    <w:tmpl w:val="7D1C3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05061"/>
    <w:multiLevelType w:val="hybridMultilevel"/>
    <w:tmpl w:val="7674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214B6"/>
    <w:multiLevelType w:val="hybridMultilevel"/>
    <w:tmpl w:val="F2BCCB62"/>
    <w:lvl w:ilvl="0" w:tplc="9348DB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E6E9D"/>
    <w:multiLevelType w:val="hybridMultilevel"/>
    <w:tmpl w:val="2E62DA50"/>
    <w:lvl w:ilvl="0" w:tplc="7690D3F0">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9475AA"/>
    <w:multiLevelType w:val="hybridMultilevel"/>
    <w:tmpl w:val="46AA7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212642"/>
    <w:multiLevelType w:val="hybridMultilevel"/>
    <w:tmpl w:val="B066B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530F2D"/>
    <w:multiLevelType w:val="hybridMultilevel"/>
    <w:tmpl w:val="3B3865C2"/>
    <w:lvl w:ilvl="0" w:tplc="095A1684">
      <w:start w:val="1"/>
      <w:numFmt w:val="bullet"/>
      <w:lvlText w:val="-"/>
      <w:lvlJc w:val="left"/>
      <w:pPr>
        <w:ind w:left="786" w:hanging="360"/>
      </w:pPr>
      <w:rPr>
        <w:rFonts w:ascii="Times New Roman" w:eastAsiaTheme="minorHAnsi"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6D633BB1"/>
    <w:multiLevelType w:val="hybridMultilevel"/>
    <w:tmpl w:val="87F09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776A92"/>
    <w:multiLevelType w:val="multilevel"/>
    <w:tmpl w:val="61C889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1"/>
  </w:num>
  <w:num w:numId="2">
    <w:abstractNumId w:val="2"/>
  </w:num>
  <w:num w:numId="3">
    <w:abstractNumId w:val="4"/>
  </w:num>
  <w:num w:numId="4">
    <w:abstractNumId w:val="8"/>
  </w:num>
  <w:num w:numId="5">
    <w:abstractNumId w:val="9"/>
  </w:num>
  <w:num w:numId="6">
    <w:abstractNumId w:val="10"/>
  </w:num>
  <w:num w:numId="7">
    <w:abstractNumId w:val="3"/>
  </w:num>
  <w:num w:numId="8">
    <w:abstractNumId w:val="1"/>
  </w:num>
  <w:num w:numId="9">
    <w:abstractNumId w:val="13"/>
  </w:num>
  <w:num w:numId="10">
    <w:abstractNumId w:val="12"/>
  </w:num>
  <w:num w:numId="11">
    <w:abstractNumId w:val="6"/>
  </w:num>
  <w:num w:numId="12">
    <w:abstractNumId w:val="14"/>
  </w:num>
  <w:num w:numId="13">
    <w:abstractNumId w:val="0"/>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A1"/>
    <w:rsid w:val="00001E55"/>
    <w:rsid w:val="0003151B"/>
    <w:rsid w:val="00037431"/>
    <w:rsid w:val="00052F08"/>
    <w:rsid w:val="000546A9"/>
    <w:rsid w:val="000879BA"/>
    <w:rsid w:val="000D1DE8"/>
    <w:rsid w:val="00112C8A"/>
    <w:rsid w:val="00115516"/>
    <w:rsid w:val="00121A9F"/>
    <w:rsid w:val="00137945"/>
    <w:rsid w:val="00141608"/>
    <w:rsid w:val="001669BE"/>
    <w:rsid w:val="00171C1D"/>
    <w:rsid w:val="00175BBD"/>
    <w:rsid w:val="00194FE6"/>
    <w:rsid w:val="001A10D7"/>
    <w:rsid w:val="001A3DA1"/>
    <w:rsid w:val="001D72BA"/>
    <w:rsid w:val="001F082B"/>
    <w:rsid w:val="001F20F7"/>
    <w:rsid w:val="001F509D"/>
    <w:rsid w:val="00226209"/>
    <w:rsid w:val="0026356A"/>
    <w:rsid w:val="00264610"/>
    <w:rsid w:val="002C170E"/>
    <w:rsid w:val="002C386B"/>
    <w:rsid w:val="002C3DB1"/>
    <w:rsid w:val="002D737E"/>
    <w:rsid w:val="00361FD8"/>
    <w:rsid w:val="00375FD9"/>
    <w:rsid w:val="004245AD"/>
    <w:rsid w:val="00425450"/>
    <w:rsid w:val="00426FD0"/>
    <w:rsid w:val="00494DE5"/>
    <w:rsid w:val="004B7BAC"/>
    <w:rsid w:val="004C3FCD"/>
    <w:rsid w:val="004D4E3D"/>
    <w:rsid w:val="004F2FA7"/>
    <w:rsid w:val="00504027"/>
    <w:rsid w:val="00512220"/>
    <w:rsid w:val="005209D3"/>
    <w:rsid w:val="00523792"/>
    <w:rsid w:val="0052558D"/>
    <w:rsid w:val="00552D83"/>
    <w:rsid w:val="00583D01"/>
    <w:rsid w:val="005B13E4"/>
    <w:rsid w:val="00622AF0"/>
    <w:rsid w:val="00657801"/>
    <w:rsid w:val="0066284F"/>
    <w:rsid w:val="00696D50"/>
    <w:rsid w:val="006A2750"/>
    <w:rsid w:val="006A57E6"/>
    <w:rsid w:val="006B7F84"/>
    <w:rsid w:val="00714CB8"/>
    <w:rsid w:val="00763BB9"/>
    <w:rsid w:val="00772E64"/>
    <w:rsid w:val="0079720E"/>
    <w:rsid w:val="007A0164"/>
    <w:rsid w:val="007A6C57"/>
    <w:rsid w:val="007C7A60"/>
    <w:rsid w:val="007D7C7C"/>
    <w:rsid w:val="007F01A5"/>
    <w:rsid w:val="007F2711"/>
    <w:rsid w:val="00810AE5"/>
    <w:rsid w:val="00847192"/>
    <w:rsid w:val="00891156"/>
    <w:rsid w:val="00891F88"/>
    <w:rsid w:val="008F183E"/>
    <w:rsid w:val="00903DB4"/>
    <w:rsid w:val="009140E0"/>
    <w:rsid w:val="009169B9"/>
    <w:rsid w:val="00923104"/>
    <w:rsid w:val="00924B09"/>
    <w:rsid w:val="00935468"/>
    <w:rsid w:val="009474CA"/>
    <w:rsid w:val="00963F4F"/>
    <w:rsid w:val="0098213F"/>
    <w:rsid w:val="009A3EC3"/>
    <w:rsid w:val="00A6512A"/>
    <w:rsid w:val="00A70616"/>
    <w:rsid w:val="00A834A5"/>
    <w:rsid w:val="00A978B8"/>
    <w:rsid w:val="00AF3AE2"/>
    <w:rsid w:val="00B55030"/>
    <w:rsid w:val="00B81A6D"/>
    <w:rsid w:val="00B846D2"/>
    <w:rsid w:val="00B86E7A"/>
    <w:rsid w:val="00BB74DD"/>
    <w:rsid w:val="00BE0631"/>
    <w:rsid w:val="00C768BB"/>
    <w:rsid w:val="00CA4BAE"/>
    <w:rsid w:val="00CB4732"/>
    <w:rsid w:val="00CC14E7"/>
    <w:rsid w:val="00D56D44"/>
    <w:rsid w:val="00D63F3E"/>
    <w:rsid w:val="00DB0F71"/>
    <w:rsid w:val="00DC7B51"/>
    <w:rsid w:val="00DD2CBF"/>
    <w:rsid w:val="00DD4371"/>
    <w:rsid w:val="00EB714B"/>
    <w:rsid w:val="00EF1BE6"/>
    <w:rsid w:val="00F1064B"/>
    <w:rsid w:val="00F605A3"/>
    <w:rsid w:val="00F77D53"/>
    <w:rsid w:val="00F82F2D"/>
    <w:rsid w:val="00FA0178"/>
    <w:rsid w:val="00FA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107E"/>
  <w15:chartTrackingRefBased/>
  <w15:docId w15:val="{DA9BB5A0-28FE-4011-843A-238551B1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104"/>
  </w:style>
  <w:style w:type="paragraph" w:styleId="Heading1">
    <w:name w:val="heading 1"/>
    <w:basedOn w:val="NoSpacing"/>
    <w:next w:val="NoSpacing"/>
    <w:link w:val="Heading1Char"/>
    <w:autoRedefine/>
    <w:uiPriority w:val="9"/>
    <w:qFormat/>
    <w:rsid w:val="00923104"/>
    <w:pPr>
      <w:keepNext/>
      <w:keepLines/>
      <w:spacing w:line="360" w:lineRule="auto"/>
      <w:outlineLvl w:val="0"/>
    </w:pPr>
    <w:rPr>
      <w:rFonts w:ascii="Arial" w:eastAsiaTheme="majorEastAsia" w:hAnsi="Arial" w:cstheme="majorBidi"/>
      <w:b/>
      <w:sz w:val="32"/>
      <w:szCs w:val="32"/>
    </w:rPr>
  </w:style>
  <w:style w:type="paragraph" w:styleId="Heading2">
    <w:name w:val="heading 2"/>
    <w:next w:val="NoSpacing"/>
    <w:link w:val="Heading2Char"/>
    <w:autoRedefine/>
    <w:uiPriority w:val="9"/>
    <w:unhideWhenUsed/>
    <w:qFormat/>
    <w:rsid w:val="00923104"/>
    <w:pPr>
      <w:keepNext/>
      <w:keepLines/>
      <w:spacing w:after="0" w:line="360" w:lineRule="auto"/>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autoRedefine/>
    <w:uiPriority w:val="9"/>
    <w:unhideWhenUsed/>
    <w:qFormat/>
    <w:rsid w:val="00923104"/>
    <w:pPr>
      <w:keepNext/>
      <w:keepLines/>
      <w:spacing w:after="0" w:line="360" w:lineRule="auto"/>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autoRedefine/>
    <w:uiPriority w:val="9"/>
    <w:unhideWhenUsed/>
    <w:qFormat/>
    <w:rsid w:val="00923104"/>
    <w:pPr>
      <w:keepNext/>
      <w:keepLines/>
      <w:spacing w:after="0" w:line="360" w:lineRule="auto"/>
      <w:ind w:left="2160"/>
      <w:outlineLvl w:val="3"/>
    </w:pPr>
    <w:rPr>
      <w:rFonts w:ascii="Times New Roman" w:eastAsiaTheme="majorEastAsia" w:hAnsi="Times New Roman" w:cstheme="majorBidi"/>
      <w:iCs/>
    </w:rPr>
  </w:style>
  <w:style w:type="paragraph" w:styleId="Heading5">
    <w:name w:val="heading 5"/>
    <w:next w:val="NoSpacing"/>
    <w:link w:val="Heading5Char"/>
    <w:autoRedefine/>
    <w:uiPriority w:val="9"/>
    <w:unhideWhenUsed/>
    <w:qFormat/>
    <w:rsid w:val="000D1DE8"/>
    <w:pPr>
      <w:keepNext/>
      <w:keepLines/>
      <w:numPr>
        <w:numId w:val="2"/>
      </w:numPr>
      <w:spacing w:after="120" w:line="276" w:lineRule="auto"/>
      <w:ind w:left="426" w:hanging="426"/>
      <w:outlineLvl w:val="4"/>
    </w:pPr>
    <w:rPr>
      <w:rFonts w:ascii="Times New Roman" w:eastAsiaTheme="majorEastAsia" w:hAnsi="Times New Roman" w:cstheme="majorBidi"/>
      <w:b/>
    </w:rPr>
  </w:style>
  <w:style w:type="paragraph" w:styleId="Heading6">
    <w:name w:val="heading 6"/>
    <w:next w:val="NoSpacing"/>
    <w:link w:val="Heading6Char"/>
    <w:autoRedefine/>
    <w:uiPriority w:val="9"/>
    <w:unhideWhenUsed/>
    <w:qFormat/>
    <w:rsid w:val="00923104"/>
    <w:pPr>
      <w:keepNext/>
      <w:keepLines/>
      <w:spacing w:after="0" w:line="360" w:lineRule="auto"/>
      <w:ind w:left="3600"/>
      <w:outlineLvl w:val="5"/>
    </w:pPr>
    <w:rPr>
      <w:rFonts w:ascii="Times New Roman" w:eastAsiaTheme="majorEastAsia" w:hAnsi="Times New Roman" w:cstheme="majorBidi"/>
    </w:rPr>
  </w:style>
  <w:style w:type="paragraph" w:styleId="Heading7">
    <w:name w:val="heading 7"/>
    <w:next w:val="NoSpacing"/>
    <w:link w:val="Heading7Char"/>
    <w:autoRedefine/>
    <w:uiPriority w:val="9"/>
    <w:unhideWhenUsed/>
    <w:qFormat/>
    <w:rsid w:val="00923104"/>
    <w:pPr>
      <w:keepNext/>
      <w:keepLines/>
      <w:spacing w:after="0" w:line="360" w:lineRule="auto"/>
      <w:ind w:left="4320"/>
      <w:outlineLvl w:val="6"/>
    </w:pPr>
    <w:rPr>
      <w:rFonts w:ascii="Times New Roman" w:eastAsiaTheme="majorEastAsia" w:hAnsi="Times New Roman" w:cstheme="majorBidi"/>
      <w:iCs/>
    </w:rPr>
  </w:style>
  <w:style w:type="paragraph" w:styleId="Heading8">
    <w:name w:val="heading 8"/>
    <w:next w:val="NoSpacing"/>
    <w:link w:val="Heading8Char"/>
    <w:autoRedefine/>
    <w:uiPriority w:val="9"/>
    <w:unhideWhenUsed/>
    <w:qFormat/>
    <w:rsid w:val="00923104"/>
    <w:pPr>
      <w:keepNext/>
      <w:keepLines/>
      <w:spacing w:after="0" w:line="360" w:lineRule="auto"/>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autoRedefine/>
    <w:uiPriority w:val="9"/>
    <w:unhideWhenUsed/>
    <w:qFormat/>
    <w:rsid w:val="00923104"/>
    <w:pPr>
      <w:keepNext/>
      <w:keepLines/>
      <w:spacing w:after="0" w:line="360" w:lineRule="auto"/>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104"/>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923104"/>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923104"/>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923104"/>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0D1DE8"/>
    <w:rPr>
      <w:rFonts w:ascii="Times New Roman" w:eastAsiaTheme="majorEastAsia" w:hAnsi="Times New Roman" w:cstheme="majorBidi"/>
      <w:b/>
    </w:rPr>
  </w:style>
  <w:style w:type="paragraph" w:styleId="NoSpacing">
    <w:name w:val="No Spacing"/>
    <w:uiPriority w:val="1"/>
    <w:qFormat/>
    <w:rsid w:val="005209D3"/>
    <w:pPr>
      <w:spacing w:after="0" w:line="240" w:lineRule="auto"/>
    </w:pPr>
  </w:style>
  <w:style w:type="character" w:customStyle="1" w:styleId="Heading6Char">
    <w:name w:val="Heading 6 Char"/>
    <w:basedOn w:val="DefaultParagraphFont"/>
    <w:link w:val="Heading6"/>
    <w:uiPriority w:val="9"/>
    <w:rsid w:val="00923104"/>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923104"/>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923104"/>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923104"/>
    <w:rPr>
      <w:rFonts w:ascii="Times New Roman" w:eastAsiaTheme="majorEastAsia" w:hAnsi="Times New Roman" w:cstheme="majorBidi"/>
      <w:iCs/>
      <w:color w:val="272727" w:themeColor="text1" w:themeTint="D8"/>
      <w:sz w:val="21"/>
      <w:szCs w:val="21"/>
    </w:rPr>
  </w:style>
  <w:style w:type="character" w:styleId="Hyperlink">
    <w:name w:val="Hyperlink"/>
    <w:basedOn w:val="DefaultParagraphFont"/>
    <w:uiPriority w:val="99"/>
    <w:unhideWhenUsed/>
    <w:rsid w:val="00A834A5"/>
    <w:rPr>
      <w:color w:val="0000FF"/>
      <w:u w:val="single"/>
    </w:rPr>
  </w:style>
  <w:style w:type="table" w:styleId="TableGrid">
    <w:name w:val="Table Grid"/>
    <w:basedOn w:val="TableNormal"/>
    <w:rsid w:val="00B84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846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List Paragraph1,List Paragraph11,List Paragraph2,bullet 1,Colorful List - Accent 11,Thang2,Level 2,List Paragraph12,VNA - List Paragraph,1.,Table Sequence,List Paragraph111,Đoạn của Danh sách,Colorful List - Accent 12,abc,Dot 1,1,l"/>
    <w:basedOn w:val="Normal"/>
    <w:link w:val="ListParagraphChar"/>
    <w:uiPriority w:val="34"/>
    <w:qFormat/>
    <w:rsid w:val="00B846D2"/>
    <w:pPr>
      <w:spacing w:after="200" w:line="276" w:lineRule="auto"/>
      <w:ind w:left="720"/>
      <w:contextualSpacing/>
    </w:pPr>
    <w:rPr>
      <w:rFonts w:ascii="Calibri" w:eastAsia="Calibri" w:hAnsi="Calibri" w:cs="Times New Roman"/>
      <w:lang w:val="x-none" w:eastAsia="x-none"/>
    </w:rPr>
  </w:style>
  <w:style w:type="character" w:customStyle="1" w:styleId="ListParagraphChar">
    <w:name w:val="List Paragraph Char"/>
    <w:aliases w:val="bullet Char,List Paragraph1 Char,List Paragraph11 Char,List Paragraph2 Char,bullet 1 Char,Colorful List - Accent 11 Char,Thang2 Char,Level 2 Char,List Paragraph12 Char,VNA - List Paragraph Char,1. Char,Table Sequence Char,abc Char"/>
    <w:link w:val="ListParagraph"/>
    <w:uiPriority w:val="34"/>
    <w:qFormat/>
    <w:locked/>
    <w:rsid w:val="00B846D2"/>
    <w:rPr>
      <w:rFonts w:ascii="Calibri" w:eastAsia="Calibri" w:hAnsi="Calibri" w:cs="Times New Roman"/>
      <w:lang w:val="x-none" w:eastAsia="x-none"/>
    </w:rPr>
  </w:style>
  <w:style w:type="paragraph" w:customStyle="1" w:styleId="Default">
    <w:name w:val="Default"/>
    <w:rsid w:val="00B846D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D1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DE8"/>
    <w:rPr>
      <w:rFonts w:ascii="Segoe UI" w:hAnsi="Segoe UI" w:cs="Segoe UI"/>
      <w:sz w:val="18"/>
      <w:szCs w:val="18"/>
    </w:rPr>
  </w:style>
  <w:style w:type="paragraph" w:styleId="Header">
    <w:name w:val="header"/>
    <w:basedOn w:val="Normal"/>
    <w:link w:val="HeaderChar"/>
    <w:uiPriority w:val="99"/>
    <w:unhideWhenUsed/>
    <w:rsid w:val="000D1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DE8"/>
  </w:style>
  <w:style w:type="paragraph" w:styleId="Footer">
    <w:name w:val="footer"/>
    <w:basedOn w:val="Normal"/>
    <w:link w:val="FooterChar"/>
    <w:uiPriority w:val="99"/>
    <w:unhideWhenUsed/>
    <w:rsid w:val="000D1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DE8"/>
  </w:style>
  <w:style w:type="character" w:styleId="CommentReference">
    <w:name w:val="annotation reference"/>
    <w:basedOn w:val="DefaultParagraphFont"/>
    <w:uiPriority w:val="99"/>
    <w:semiHidden/>
    <w:unhideWhenUsed/>
    <w:rsid w:val="00F77D53"/>
    <w:rPr>
      <w:sz w:val="16"/>
      <w:szCs w:val="16"/>
    </w:rPr>
  </w:style>
  <w:style w:type="paragraph" w:styleId="CommentText">
    <w:name w:val="annotation text"/>
    <w:basedOn w:val="Normal"/>
    <w:link w:val="CommentTextChar"/>
    <w:uiPriority w:val="99"/>
    <w:unhideWhenUsed/>
    <w:rsid w:val="00F77D53"/>
    <w:pPr>
      <w:spacing w:line="240" w:lineRule="auto"/>
    </w:pPr>
    <w:rPr>
      <w:sz w:val="20"/>
      <w:szCs w:val="20"/>
    </w:rPr>
  </w:style>
  <w:style w:type="character" w:customStyle="1" w:styleId="CommentTextChar">
    <w:name w:val="Comment Text Char"/>
    <w:basedOn w:val="DefaultParagraphFont"/>
    <w:link w:val="CommentText"/>
    <w:uiPriority w:val="99"/>
    <w:rsid w:val="00F77D53"/>
    <w:rPr>
      <w:sz w:val="20"/>
      <w:szCs w:val="20"/>
    </w:rPr>
  </w:style>
  <w:style w:type="paragraph" w:styleId="CommentSubject">
    <w:name w:val="annotation subject"/>
    <w:basedOn w:val="CommentText"/>
    <w:next w:val="CommentText"/>
    <w:link w:val="CommentSubjectChar"/>
    <w:uiPriority w:val="99"/>
    <w:semiHidden/>
    <w:unhideWhenUsed/>
    <w:rsid w:val="00F77D53"/>
    <w:rPr>
      <w:b/>
      <w:bCs/>
    </w:rPr>
  </w:style>
  <w:style w:type="character" w:customStyle="1" w:styleId="CommentSubjectChar">
    <w:name w:val="Comment Subject Char"/>
    <w:basedOn w:val="CommentTextChar"/>
    <w:link w:val="CommentSubject"/>
    <w:uiPriority w:val="99"/>
    <w:semiHidden/>
    <w:rsid w:val="00F77D53"/>
    <w:rPr>
      <w:b/>
      <w:bCs/>
      <w:sz w:val="20"/>
      <w:szCs w:val="20"/>
    </w:rPr>
  </w:style>
  <w:style w:type="paragraph" w:styleId="FootnoteText">
    <w:name w:val="footnote text"/>
    <w:aliases w:val="Car"/>
    <w:basedOn w:val="Normal"/>
    <w:link w:val="FootnoteTextChar"/>
    <w:uiPriority w:val="99"/>
    <w:unhideWhenUsed/>
    <w:qFormat/>
    <w:rsid w:val="007D7C7C"/>
    <w:pPr>
      <w:spacing w:after="0" w:line="240" w:lineRule="auto"/>
    </w:pPr>
    <w:rPr>
      <w:rFonts w:ascii="Calibri" w:eastAsia="Calibri" w:hAnsi="Calibri" w:cs="Times New Roman"/>
      <w:sz w:val="20"/>
      <w:szCs w:val="20"/>
    </w:rPr>
  </w:style>
  <w:style w:type="character" w:customStyle="1" w:styleId="FootnoteTextChar">
    <w:name w:val="Footnote Text Char"/>
    <w:aliases w:val="Car Char"/>
    <w:basedOn w:val="DefaultParagraphFont"/>
    <w:link w:val="FootnoteText"/>
    <w:uiPriority w:val="99"/>
    <w:qFormat/>
    <w:rsid w:val="007D7C7C"/>
    <w:rPr>
      <w:rFonts w:ascii="Calibri" w:eastAsia="Calibri" w:hAnsi="Calibri" w:cs="Times New Roman"/>
      <w:sz w:val="20"/>
      <w:szCs w:val="20"/>
    </w:rPr>
  </w:style>
  <w:style w:type="character" w:styleId="FootnoteReference">
    <w:name w:val="footnote reference"/>
    <w:aliases w:val="Footnote + Arial,10 pt,Black,Footnote,ftref,(NECG) Footnote Reference,16 Point,Superscript 6 Point,Footnote text,SUPERS,Footnote dich,fr,BVI fnr,footnote ref,BearingPoint,Footnote Text1,Ref,de nota al pie,Footnote Text11, BVI fnr"/>
    <w:basedOn w:val="DefaultParagraphFont"/>
    <w:uiPriority w:val="99"/>
    <w:unhideWhenUsed/>
    <w:qFormat/>
    <w:rsid w:val="007D7C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8220">
      <w:bodyDiv w:val="1"/>
      <w:marLeft w:val="0"/>
      <w:marRight w:val="0"/>
      <w:marTop w:val="0"/>
      <w:marBottom w:val="0"/>
      <w:divBdr>
        <w:top w:val="none" w:sz="0" w:space="0" w:color="auto"/>
        <w:left w:val="none" w:sz="0" w:space="0" w:color="auto"/>
        <w:bottom w:val="none" w:sz="0" w:space="0" w:color="auto"/>
        <w:right w:val="none" w:sz="0" w:space="0" w:color="auto"/>
      </w:divBdr>
    </w:div>
    <w:div w:id="85407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tact@vietinbank.vn/" TargetMode="External"/></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1F18A-E5DC-4C3E-8F78-BA28D6D74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MAIPHUONG</dc:creator>
  <cp:keywords/>
  <dc:description/>
  <cp:lastModifiedBy>Le Ha</cp:lastModifiedBy>
  <cp:revision>3</cp:revision>
  <cp:lastPrinted>2024-10-22T09:43:00Z</cp:lastPrinted>
  <dcterms:created xsi:type="dcterms:W3CDTF">2024-10-24T07:09:00Z</dcterms:created>
  <dcterms:modified xsi:type="dcterms:W3CDTF">2024-10-24T07:11:00Z</dcterms:modified>
</cp:coreProperties>
</file>